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42B237F4" w:rsidR="00046D1B" w:rsidRPr="00CC12B2" w:rsidRDefault="00046D1B" w:rsidP="00046D1B">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w:t>
      </w:r>
      <w:r w:rsidR="00E60081" w:rsidRPr="00CC12B2">
        <w:rPr>
          <w:rFonts w:ascii="Arial" w:eastAsia="MS Mincho" w:hAnsi="Arial" w:cs="Arial"/>
          <w:b/>
          <w:sz w:val="22"/>
          <w:szCs w:val="22"/>
          <w:lang w:val="de-DE"/>
        </w:rPr>
        <w:t>1</w:t>
      </w:r>
      <w:r w:rsidR="005D0FA5" w:rsidRPr="00CC12B2">
        <w:rPr>
          <w:rFonts w:ascii="Arial" w:eastAsia="MS Mincho" w:hAnsi="Arial" w:cs="Arial"/>
          <w:b/>
          <w:sz w:val="22"/>
          <w:szCs w:val="22"/>
          <w:lang w:val="de-DE"/>
        </w:rPr>
        <w:t>1</w:t>
      </w:r>
      <w:r w:rsidR="00365B45" w:rsidRPr="00CC12B2">
        <w:rPr>
          <w:rFonts w:ascii="Arial" w:eastAsia="MS Mincho" w:hAnsi="Arial" w:cs="Arial"/>
          <w:b/>
          <w:sz w:val="22"/>
          <w:szCs w:val="22"/>
          <w:lang w:val="de-DE"/>
        </w:rPr>
        <w:t>6</w:t>
      </w:r>
      <w:r w:rsidR="00F40AB0" w:rsidRPr="00CC12B2">
        <w:rPr>
          <w:rFonts w:ascii="Arial" w:eastAsia="MS Mincho" w:hAnsi="Arial" w:cs="Arial"/>
          <w:b/>
          <w:sz w:val="22"/>
          <w:szCs w:val="22"/>
          <w:lang w:val="de-DE"/>
        </w:rPr>
        <w:t>-bis</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00655A3E"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00CE095F" w:rsidRPr="00CC12B2">
        <w:rPr>
          <w:rFonts w:ascii="Arial" w:hAnsi="Arial" w:cs="Arial"/>
          <w:b/>
          <w:color w:val="000000"/>
          <w:sz w:val="22"/>
          <w:szCs w:val="22"/>
          <w:lang w:val="de-DE"/>
        </w:rPr>
        <w:t>R1-</w:t>
      </w:r>
      <w:r w:rsidR="00F87BF2" w:rsidRPr="00CC12B2">
        <w:rPr>
          <w:rFonts w:ascii="Arial" w:hAnsi="Arial" w:cs="Arial"/>
          <w:b/>
          <w:color w:val="000000"/>
          <w:sz w:val="22"/>
          <w:szCs w:val="22"/>
          <w:lang w:val="de-DE"/>
        </w:rPr>
        <w:t>24</w:t>
      </w:r>
      <w:r w:rsidR="00F87BF2">
        <w:rPr>
          <w:rFonts w:ascii="Arial" w:hAnsi="Arial" w:cs="Arial"/>
          <w:b/>
          <w:color w:val="000000"/>
          <w:sz w:val="22"/>
          <w:szCs w:val="22"/>
          <w:lang w:val="de-DE"/>
        </w:rPr>
        <w:t>02967</w:t>
      </w:r>
    </w:p>
    <w:p w14:paraId="1A15B170" w14:textId="0120EDC1" w:rsidR="00046D1B" w:rsidRPr="00B666B8" w:rsidRDefault="00F9486F"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Changsha, PR China</w:t>
      </w:r>
      <w:r w:rsidR="006730A8" w:rsidRPr="00080C81">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15</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19</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April</w:t>
      </w:r>
      <w:r w:rsidR="006963B1" w:rsidRPr="00080C81">
        <w:rPr>
          <w:rFonts w:ascii="Arial" w:eastAsia="MS Mincho" w:hAnsi="Arial" w:cs="Arial"/>
          <w:b/>
          <w:noProof/>
          <w:sz w:val="22"/>
          <w:szCs w:val="22"/>
          <w:lang w:eastAsia="ja-JP"/>
        </w:rPr>
        <w:t xml:space="preserve"> 2024</w:t>
      </w:r>
    </w:p>
    <w:p w14:paraId="696C944C" w14:textId="1A804701"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600CC0">
        <w:rPr>
          <w:rFonts w:ascii="Arial" w:eastAsia="MS Mincho" w:hAnsi="Arial" w:cs="Arial"/>
          <w:b/>
          <w:lang w:eastAsia="ja-JP"/>
        </w:rPr>
        <w:t>9.4.1.1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89506FB"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600CC0">
        <w:rPr>
          <w:rFonts w:ascii="Arial" w:eastAsia="MS Mincho" w:hAnsi="Arial" w:cs="Arial"/>
          <w:b/>
          <w:lang w:eastAsia="ja-JP"/>
        </w:rPr>
        <w:t>Ambient IoT evaluation assumptions and results</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63930EC2" w:rsidR="00DD4AC5" w:rsidRPr="00B34479" w:rsidRDefault="008C75E4" w:rsidP="00CA74A2">
      <w:pPr>
        <w:spacing w:afterLines="50" w:after="156"/>
        <w:jc w:val="both"/>
        <w:rPr>
          <w:sz w:val="22"/>
          <w:szCs w:val="22"/>
          <w:lang w:eastAsia="ja-JP"/>
        </w:rPr>
      </w:pPr>
      <w:r w:rsidRPr="00B34479">
        <w:rPr>
          <w:sz w:val="22"/>
          <w:szCs w:val="22"/>
          <w:lang w:eastAsia="ja-JP"/>
        </w:rPr>
        <w:t xml:space="preserve">In </w:t>
      </w:r>
      <w:r w:rsidRPr="00222DB3">
        <w:rPr>
          <w:sz w:val="22"/>
          <w:szCs w:val="22"/>
          <w:lang w:eastAsia="ja-JP"/>
        </w:rPr>
        <w:t>RANP#10</w:t>
      </w:r>
      <w:r w:rsidR="00BE520B" w:rsidRPr="00222DB3">
        <w:rPr>
          <w:sz w:val="22"/>
          <w:szCs w:val="22"/>
          <w:lang w:eastAsia="ja-JP"/>
        </w:rPr>
        <w:t>3</w:t>
      </w:r>
      <w:r w:rsidRPr="00222DB3">
        <w:rPr>
          <w:sz w:val="22"/>
          <w:szCs w:val="22"/>
          <w:lang w:eastAsia="ja-JP"/>
        </w:rPr>
        <w:t xml:space="preserve"> </w:t>
      </w:r>
      <w:r w:rsidR="00BE520B" w:rsidRPr="00B34479">
        <w:rPr>
          <w:sz w:val="22"/>
          <w:szCs w:val="22"/>
          <w:lang w:eastAsia="ja-JP"/>
        </w:rPr>
        <w:t>Maastricht</w:t>
      </w:r>
      <w:r w:rsidRPr="00B34479">
        <w:rPr>
          <w:sz w:val="22"/>
          <w:szCs w:val="22"/>
          <w:lang w:eastAsia="ja-JP"/>
        </w:rPr>
        <w:t xml:space="preserve">, </w:t>
      </w:r>
      <w:r w:rsidR="00BE520B" w:rsidRPr="00B34479">
        <w:rPr>
          <w:sz w:val="22"/>
          <w:szCs w:val="22"/>
          <w:lang w:eastAsia="ja-JP"/>
        </w:rPr>
        <w:t>the</w:t>
      </w:r>
      <w:r w:rsidRPr="00B34479">
        <w:rPr>
          <w:sz w:val="22"/>
          <w:szCs w:val="22"/>
          <w:lang w:eastAsia="ja-JP"/>
        </w:rPr>
        <w:t xml:space="preserve"> study item on Ambient IoT was </w:t>
      </w:r>
      <w:r w:rsidR="00BE520B" w:rsidRPr="00B34479">
        <w:rPr>
          <w:sz w:val="22"/>
          <w:szCs w:val="22"/>
          <w:lang w:eastAsia="ja-JP"/>
        </w:rPr>
        <w:t>updated</w:t>
      </w:r>
      <w:r w:rsidRPr="00B34479">
        <w:rPr>
          <w:sz w:val="22"/>
          <w:szCs w:val="22"/>
          <w:lang w:eastAsia="ja-JP"/>
        </w:rPr>
        <w:t xml:space="preserve"> </w:t>
      </w:r>
      <w:r w:rsidRPr="00222DB3">
        <w:rPr>
          <w:sz w:val="22"/>
          <w:szCs w:val="22"/>
          <w:lang w:eastAsia="ja-JP"/>
        </w:rPr>
        <w:t>[</w:t>
      </w:r>
      <w:r w:rsidR="00BF521C" w:rsidRPr="00222DB3">
        <w:rPr>
          <w:sz w:val="22"/>
          <w:szCs w:val="22"/>
          <w:lang w:eastAsia="ja-JP"/>
        </w:rPr>
        <w:t>5</w:t>
      </w:r>
      <w:r w:rsidRPr="00222DB3">
        <w:rPr>
          <w:sz w:val="22"/>
          <w:szCs w:val="22"/>
          <w:lang w:eastAsia="ja-JP"/>
        </w:rPr>
        <w:t>]</w:t>
      </w:r>
      <w:r w:rsidRPr="00B34479">
        <w:rPr>
          <w:sz w:val="22"/>
          <w:szCs w:val="22"/>
          <w:lang w:eastAsia="ja-JP"/>
        </w:rPr>
        <w:t>, including the following objective</w:t>
      </w:r>
      <w:r w:rsidR="009D56CC" w:rsidRPr="00B34479">
        <w:rPr>
          <w:sz w:val="22"/>
          <w:szCs w:val="22"/>
          <w:lang w:eastAsia="ja-JP"/>
        </w:rPr>
        <w:t>:</w:t>
      </w:r>
    </w:p>
    <w:tbl>
      <w:tblPr>
        <w:tblStyle w:val="TableGrid"/>
        <w:tblW w:w="0" w:type="auto"/>
        <w:tblLook w:val="04A0" w:firstRow="1" w:lastRow="0" w:firstColumn="1" w:lastColumn="0" w:noHBand="0" w:noVBand="1"/>
      </w:tblPr>
      <w:tblGrid>
        <w:gridCol w:w="9962"/>
      </w:tblGrid>
      <w:tr w:rsidR="009D56CC" w14:paraId="3F434792" w14:textId="77777777" w:rsidTr="009D56CC">
        <w:tc>
          <w:tcPr>
            <w:tcW w:w="9962" w:type="dxa"/>
          </w:tcPr>
          <w:p w14:paraId="399C0552" w14:textId="77777777" w:rsidR="00EC68CC" w:rsidRPr="00222DB3" w:rsidRDefault="00EC68CC" w:rsidP="00C20ADC">
            <w:pPr>
              <w:numPr>
                <w:ilvl w:val="0"/>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SimSun"/>
                <w:sz w:val="20"/>
                <w:szCs w:val="20"/>
                <w:lang w:val="en-US" w:eastAsia="ja-JP"/>
              </w:rPr>
              <w:t>Evaluation assumptions</w:t>
            </w:r>
          </w:p>
          <w:p w14:paraId="3184E831" w14:textId="77777777" w:rsidR="00EC68CC" w:rsidRPr="00222DB3" w:rsidRDefault="00EC68CC" w:rsidP="00C20ADC">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SimSun"/>
                <w:sz w:val="20"/>
                <w:szCs w:val="20"/>
                <w:lang w:val="en-US" w:eastAsia="ja-JP"/>
              </w:rPr>
              <w:t>Conclude at least the following aspects of design targets left to WGs in Clause 5 (RAN design targets) of TR 38.848 [RAN1].</w:t>
            </w:r>
          </w:p>
          <w:p w14:paraId="52CC6BA1" w14:textId="77777777" w:rsidR="00EC68CC" w:rsidRPr="00222DB3" w:rsidRDefault="00EC68CC" w:rsidP="00C20ADC">
            <w:pPr>
              <w:numPr>
                <w:ilvl w:val="1"/>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SimSun"/>
                <w:sz w:val="20"/>
                <w:szCs w:val="20"/>
                <w:lang w:val="en-US" w:eastAsia="ja-JP"/>
              </w:rPr>
              <w:t>Clause 5.3: Applicable maximum distance target values(s)</w:t>
            </w:r>
          </w:p>
          <w:p w14:paraId="0749D270" w14:textId="77777777" w:rsidR="00EC68CC" w:rsidRPr="00222DB3" w:rsidRDefault="00EC68CC" w:rsidP="00C20ADC">
            <w:pPr>
              <w:numPr>
                <w:ilvl w:val="1"/>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SimSun"/>
                <w:sz w:val="20"/>
                <w:szCs w:val="20"/>
                <w:lang w:val="en-US" w:eastAsia="ja-JP"/>
              </w:rPr>
              <w:t>Clause 5.6: Refine the definition of latency suitable for use in RAN WGs</w:t>
            </w:r>
          </w:p>
          <w:p w14:paraId="361AC916" w14:textId="77777777" w:rsidR="00EC68CC" w:rsidRPr="00222DB3" w:rsidRDefault="00EC68CC" w:rsidP="00C20ADC">
            <w:pPr>
              <w:numPr>
                <w:ilvl w:val="1"/>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SimSun"/>
                <w:sz w:val="20"/>
                <w:szCs w:val="20"/>
                <w:lang w:val="en-US" w:eastAsia="ja-JP"/>
              </w:rPr>
              <w:t>Clause 5.8: 2D distribution of devices</w:t>
            </w:r>
          </w:p>
          <w:p w14:paraId="3CA125E3" w14:textId="77777777" w:rsidR="00EC68CC" w:rsidRPr="00222DB3" w:rsidRDefault="00EC68CC" w:rsidP="00C20ADC">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DengXian"/>
                <w:sz w:val="20"/>
                <w:szCs w:val="20"/>
                <w:lang w:eastAsia="en-GB"/>
              </w:rPr>
              <w:t>Define necessary further evaluation assumptions of deployment scenarios for coverage and coexistence evaluations [RAN1, RAN4]</w:t>
            </w:r>
          </w:p>
          <w:p w14:paraId="0D374797" w14:textId="77777777" w:rsidR="00EC68CC" w:rsidRPr="00222DB3" w:rsidRDefault="00EC68CC" w:rsidP="00C20ADC">
            <w:pPr>
              <w:numPr>
                <w:ilvl w:val="0"/>
                <w:numId w:val="14"/>
              </w:numPr>
              <w:overflowPunct w:val="0"/>
              <w:autoSpaceDE w:val="0"/>
              <w:autoSpaceDN w:val="0"/>
              <w:adjustRightInd w:val="0"/>
              <w:spacing w:after="120"/>
              <w:ind w:right="-96"/>
              <w:jc w:val="both"/>
              <w:textAlignment w:val="baseline"/>
              <w:rPr>
                <w:rFonts w:eastAsia="SimSun"/>
                <w:sz w:val="20"/>
                <w:szCs w:val="20"/>
                <w:lang w:eastAsia="ja-JP"/>
              </w:rPr>
            </w:pPr>
            <w:r w:rsidRPr="00222DB3">
              <w:rPr>
                <w:rFonts w:eastAsia="DengXian"/>
                <w:sz w:val="20"/>
                <w:szCs w:val="20"/>
                <w:lang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1CC22255" w14:textId="77777777" w:rsidR="00EC68CC" w:rsidRPr="00222DB3" w:rsidRDefault="00EC68CC" w:rsidP="00C20ADC">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222DB3">
              <w:rPr>
                <w:rFonts w:eastAsia="SimSun"/>
                <w:sz w:val="20"/>
                <w:szCs w:val="20"/>
                <w:lang w:val="en-US" w:eastAsia="ja-JP"/>
              </w:rPr>
              <w:t>Define link budget calculation for coverage, including whether/how to model carrier wave from node(s) inside or outside the connectivity topology.</w:t>
            </w:r>
          </w:p>
          <w:p w14:paraId="5EABCC60" w14:textId="77777777" w:rsidR="00EC68CC" w:rsidRPr="00B34479" w:rsidRDefault="00EC68CC" w:rsidP="00EC68CC">
            <w:pPr>
              <w:overflowPunct w:val="0"/>
              <w:autoSpaceDE w:val="0"/>
              <w:autoSpaceDN w:val="0"/>
              <w:adjustRightInd w:val="0"/>
              <w:spacing w:after="120"/>
              <w:ind w:left="360" w:right="-96"/>
              <w:textAlignment w:val="baseline"/>
              <w:rPr>
                <w:rFonts w:eastAsia="SimSun"/>
                <w:sz w:val="20"/>
                <w:szCs w:val="20"/>
                <w:lang w:val="en-US" w:eastAsia="ja-JP"/>
              </w:rPr>
            </w:pPr>
            <w:r w:rsidRPr="00222DB3">
              <w:rPr>
                <w:rFonts w:eastAsia="SimSun"/>
                <w:sz w:val="20"/>
                <w:szCs w:val="20"/>
                <w:lang w:val="en-US" w:eastAsia="ja-JP"/>
              </w:rPr>
              <w:t>NOTE: Assessment performance of the design targets is within the study of feasibility and necessity of proposals in the following objectives, e.g. by inspection of reference</w:t>
            </w:r>
            <w:r w:rsidRPr="00B34479">
              <w:rPr>
                <w:rFonts w:eastAsia="SimSun"/>
                <w:sz w:val="20"/>
                <w:szCs w:val="20"/>
                <w:lang w:val="en-US" w:eastAsia="ja-JP"/>
              </w:rPr>
              <w:t xml:space="preserve"> implementations in the field, simulations, analytically.</w:t>
            </w:r>
          </w:p>
          <w:p w14:paraId="7AB2FA8F" w14:textId="34A8896B" w:rsidR="009D56CC" w:rsidRPr="00EC68CC" w:rsidRDefault="00EC68CC" w:rsidP="00EC68CC">
            <w:pPr>
              <w:overflowPunct w:val="0"/>
              <w:autoSpaceDE w:val="0"/>
              <w:autoSpaceDN w:val="0"/>
              <w:adjustRightInd w:val="0"/>
              <w:spacing w:after="120"/>
              <w:ind w:left="360" w:right="-96"/>
              <w:textAlignment w:val="baseline"/>
              <w:rPr>
                <w:rFonts w:eastAsia="SimSun"/>
                <w:sz w:val="20"/>
                <w:szCs w:val="20"/>
                <w:lang w:eastAsia="ja-JP"/>
              </w:rPr>
            </w:pPr>
            <w:r w:rsidRPr="00B34479">
              <w:rPr>
                <w:rFonts w:eastAsia="SimSun"/>
                <w:sz w:val="20"/>
                <w:szCs w:val="20"/>
                <w:lang w:val="en-US" w:eastAsia="ja-JP"/>
              </w:rPr>
              <w:t>NOTE: strive to minimize evaluation cases in RAN1.</w:t>
            </w:r>
          </w:p>
        </w:tc>
      </w:tr>
    </w:tbl>
    <w:p w14:paraId="52D3C069" w14:textId="77777777" w:rsidR="009D56CC" w:rsidRDefault="009D56CC" w:rsidP="00CA74A2">
      <w:pPr>
        <w:spacing w:afterLines="50" w:after="156"/>
        <w:jc w:val="both"/>
        <w:rPr>
          <w:sz w:val="22"/>
          <w:szCs w:val="22"/>
          <w:lang w:eastAsia="ja-JP"/>
        </w:rPr>
      </w:pPr>
    </w:p>
    <w:p w14:paraId="62ED8DBE" w14:textId="31A787F6" w:rsidR="00B23DC5" w:rsidRDefault="00B23DC5" w:rsidP="00B23DC5">
      <w:pPr>
        <w:spacing w:afterLines="50" w:after="156"/>
        <w:jc w:val="both"/>
        <w:rPr>
          <w:sz w:val="22"/>
          <w:szCs w:val="22"/>
          <w:lang w:eastAsia="ja-JP"/>
        </w:rPr>
      </w:pPr>
      <w:r>
        <w:rPr>
          <w:sz w:val="22"/>
          <w:szCs w:val="22"/>
          <w:lang w:eastAsia="ja-JP"/>
        </w:rPr>
        <w:t xml:space="preserve">The following </w:t>
      </w:r>
      <w:r w:rsidRPr="00B34479">
        <w:rPr>
          <w:sz w:val="22"/>
          <w:szCs w:val="22"/>
          <w:lang w:eastAsia="ja-JP"/>
        </w:rPr>
        <w:t>proposals [</w:t>
      </w:r>
      <w:r w:rsidR="00B34479" w:rsidRPr="00222DB3">
        <w:rPr>
          <w:sz w:val="22"/>
          <w:szCs w:val="22"/>
          <w:lang w:eastAsia="ja-JP"/>
        </w:rPr>
        <w:t>6</w:t>
      </w:r>
      <w:r w:rsidRPr="00222DB3">
        <w:rPr>
          <w:sz w:val="22"/>
          <w:szCs w:val="22"/>
          <w:lang w:eastAsia="ja-JP"/>
        </w:rPr>
        <w:t>]</w:t>
      </w:r>
      <w:r w:rsidRPr="00B34479">
        <w:rPr>
          <w:sz w:val="22"/>
          <w:szCs w:val="22"/>
          <w:lang w:eastAsia="ja-JP"/>
        </w:rPr>
        <w:t xml:space="preserve"> that</w:t>
      </w:r>
      <w:r>
        <w:rPr>
          <w:sz w:val="22"/>
          <w:szCs w:val="22"/>
          <w:lang w:eastAsia="ja-JP"/>
        </w:rPr>
        <w:t xml:space="preserve"> are relevant to this agenda item were endorsed at RANP#103 Maastricht:</w:t>
      </w:r>
    </w:p>
    <w:tbl>
      <w:tblPr>
        <w:tblStyle w:val="TableGrid"/>
        <w:tblW w:w="0" w:type="auto"/>
        <w:tblLook w:val="04A0" w:firstRow="1" w:lastRow="0" w:firstColumn="1" w:lastColumn="0" w:noHBand="0" w:noVBand="1"/>
      </w:tblPr>
      <w:tblGrid>
        <w:gridCol w:w="9962"/>
      </w:tblGrid>
      <w:tr w:rsidR="00B23DC5" w14:paraId="3DB6EA69" w14:textId="77777777" w:rsidTr="00B23DC5">
        <w:tc>
          <w:tcPr>
            <w:tcW w:w="9962" w:type="dxa"/>
          </w:tcPr>
          <w:p w14:paraId="6F3483A1" w14:textId="77777777" w:rsidR="00617BE0" w:rsidRPr="00617BE0" w:rsidRDefault="00617BE0" w:rsidP="00617BE0">
            <w:pPr>
              <w:widowControl w:val="0"/>
              <w:tabs>
                <w:tab w:val="left" w:pos="1100"/>
              </w:tabs>
              <w:autoSpaceDE w:val="0"/>
              <w:autoSpaceDN w:val="0"/>
              <w:adjustRightInd w:val="0"/>
              <w:rPr>
                <w:rFonts w:eastAsia="SimSun"/>
                <w:b/>
                <w:sz w:val="21"/>
                <w:szCs w:val="21"/>
                <w:lang w:val="en-US" w:eastAsia="zh-CN"/>
              </w:rPr>
            </w:pPr>
            <w:r w:rsidRPr="00617BE0">
              <w:rPr>
                <w:rFonts w:eastAsia="SimSun" w:hint="eastAsia"/>
                <w:b/>
                <w:sz w:val="21"/>
                <w:szCs w:val="21"/>
                <w:lang w:val="en-US" w:eastAsia="zh-CN"/>
              </w:rPr>
              <w:t>P</w:t>
            </w:r>
            <w:r w:rsidRPr="00617BE0">
              <w:rPr>
                <w:rFonts w:eastAsia="SimSun"/>
                <w:b/>
                <w:sz w:val="21"/>
                <w:szCs w:val="21"/>
                <w:lang w:val="en-US" w:eastAsia="zh-CN"/>
              </w:rPr>
              <w:t>roposal 5v2</w:t>
            </w:r>
          </w:p>
          <w:p w14:paraId="4CAAA52F" w14:textId="77777777" w:rsidR="00617BE0" w:rsidRPr="00617BE0" w:rsidRDefault="00617BE0" w:rsidP="00C20ADC">
            <w:pPr>
              <w:widowControl w:val="0"/>
              <w:numPr>
                <w:ilvl w:val="0"/>
                <w:numId w:val="20"/>
              </w:numPr>
              <w:tabs>
                <w:tab w:val="left" w:pos="1100"/>
              </w:tabs>
              <w:autoSpaceDE w:val="0"/>
              <w:autoSpaceDN w:val="0"/>
              <w:adjustRightInd w:val="0"/>
              <w:spacing w:line="360" w:lineRule="auto"/>
              <w:ind w:leftChars="200" w:left="840"/>
              <w:rPr>
                <w:rFonts w:eastAsia="SimSun"/>
                <w:sz w:val="21"/>
                <w:szCs w:val="21"/>
                <w:lang w:val="en-US" w:eastAsia="zh-CN"/>
              </w:rPr>
            </w:pPr>
            <w:r w:rsidRPr="00617BE0">
              <w:rPr>
                <w:rFonts w:eastAsia="SimSun"/>
                <w:sz w:val="21"/>
                <w:szCs w:val="21"/>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498FD2EA" w14:textId="77777777" w:rsidR="00617BE0" w:rsidRPr="00617BE0" w:rsidRDefault="00617BE0" w:rsidP="00C20ADC">
            <w:pPr>
              <w:widowControl w:val="0"/>
              <w:numPr>
                <w:ilvl w:val="0"/>
                <w:numId w:val="20"/>
              </w:numPr>
              <w:tabs>
                <w:tab w:val="left" w:pos="1100"/>
              </w:tabs>
              <w:autoSpaceDE w:val="0"/>
              <w:autoSpaceDN w:val="0"/>
              <w:adjustRightInd w:val="0"/>
              <w:spacing w:line="360" w:lineRule="auto"/>
              <w:ind w:leftChars="200" w:left="840"/>
              <w:rPr>
                <w:rFonts w:eastAsia="SimSun"/>
                <w:sz w:val="21"/>
                <w:szCs w:val="21"/>
                <w:lang w:val="en-US" w:eastAsia="zh-CN"/>
              </w:rPr>
            </w:pPr>
            <w:r w:rsidRPr="00617BE0">
              <w:rPr>
                <w:rFonts w:eastAsia="SimSun"/>
                <w:sz w:val="21"/>
                <w:szCs w:val="21"/>
                <w:lang w:val="en-US" w:eastAsia="zh-CN"/>
              </w:rPr>
              <w:t>Evaluations of RAN design targets for latency and connection/device density are allowed by the Rel-19 SID and observations on those evaluations can be captured in the TR38.769</w:t>
            </w:r>
          </w:p>
          <w:p w14:paraId="1A294E8B" w14:textId="7AA3DDC6" w:rsidR="00B23DC5" w:rsidRPr="00617BE0" w:rsidRDefault="00617BE0" w:rsidP="00C20ADC">
            <w:pPr>
              <w:widowControl w:val="0"/>
              <w:numPr>
                <w:ilvl w:val="0"/>
                <w:numId w:val="20"/>
              </w:numPr>
              <w:tabs>
                <w:tab w:val="left" w:pos="1100"/>
              </w:tabs>
              <w:autoSpaceDE w:val="0"/>
              <w:autoSpaceDN w:val="0"/>
              <w:adjustRightInd w:val="0"/>
              <w:spacing w:line="360" w:lineRule="auto"/>
              <w:ind w:leftChars="200" w:left="840"/>
              <w:rPr>
                <w:rFonts w:eastAsia="SimSun"/>
                <w:sz w:val="21"/>
                <w:szCs w:val="21"/>
                <w:lang w:val="en-US" w:eastAsia="zh-CN"/>
              </w:rPr>
            </w:pPr>
            <w:r w:rsidRPr="00617BE0">
              <w:rPr>
                <w:rFonts w:eastAsia="SimSun"/>
                <w:sz w:val="21"/>
                <w:szCs w:val="21"/>
                <w:lang w:val="en-US" w:eastAsia="zh-CN"/>
              </w:rPr>
              <w:t>Note: this is as per the SID: “</w:t>
            </w:r>
            <w:r w:rsidRPr="00617BE0">
              <w:rPr>
                <w:rFonts w:eastAsia="SimSun"/>
                <w:i/>
                <w:iCs/>
                <w:sz w:val="21"/>
                <w:szCs w:val="21"/>
                <w:lang w:val="en-US" w:eastAsia="zh-CN"/>
              </w:rPr>
              <w:t>NOTE: Assessment performance of the design targets is within the study of feasibility and necessity of proposals in the following objectives, e.g. by inspection of reference implementations in the field, simulations, analytically</w:t>
            </w:r>
            <w:r w:rsidRPr="00617BE0">
              <w:rPr>
                <w:rFonts w:eastAsia="SimSun"/>
                <w:sz w:val="21"/>
                <w:szCs w:val="21"/>
                <w:lang w:val="en-US" w:eastAsia="zh-CN"/>
              </w:rPr>
              <w:t>.”</w:t>
            </w:r>
          </w:p>
        </w:tc>
      </w:tr>
    </w:tbl>
    <w:p w14:paraId="0DBA1DB8" w14:textId="77777777" w:rsidR="00C226CA" w:rsidRDefault="00C226CA" w:rsidP="00CA74A2">
      <w:pPr>
        <w:spacing w:afterLines="50" w:after="156"/>
        <w:jc w:val="both"/>
        <w:rPr>
          <w:sz w:val="22"/>
          <w:szCs w:val="22"/>
          <w:lang w:eastAsia="ja-JP"/>
        </w:rPr>
      </w:pPr>
    </w:p>
    <w:p w14:paraId="21641FD0" w14:textId="43C1F326" w:rsidR="009D2794" w:rsidRDefault="009D2794" w:rsidP="00CA74A2">
      <w:pPr>
        <w:spacing w:afterLines="50" w:after="156"/>
        <w:jc w:val="both"/>
        <w:rPr>
          <w:sz w:val="22"/>
          <w:szCs w:val="22"/>
          <w:lang w:eastAsia="ja-JP"/>
        </w:rPr>
      </w:pPr>
      <w:r>
        <w:rPr>
          <w:sz w:val="22"/>
          <w:szCs w:val="22"/>
          <w:lang w:eastAsia="ja-JP"/>
        </w:rPr>
        <w:t>In RAN1#116 Athens, the following agreements were made</w:t>
      </w:r>
      <w:r w:rsidR="00C213AE">
        <w:rPr>
          <w:sz w:val="22"/>
          <w:szCs w:val="22"/>
          <w:lang w:eastAsia="ja-JP"/>
        </w:rPr>
        <w:t xml:space="preserve"> [7]</w:t>
      </w:r>
      <w:r>
        <w:rPr>
          <w:sz w:val="22"/>
          <w:szCs w:val="22"/>
          <w:lang w:eastAsia="ja-JP"/>
        </w:rPr>
        <w:t>:</w:t>
      </w:r>
    </w:p>
    <w:tbl>
      <w:tblPr>
        <w:tblStyle w:val="TableGrid"/>
        <w:tblW w:w="0" w:type="auto"/>
        <w:tblLook w:val="04A0" w:firstRow="1" w:lastRow="0" w:firstColumn="1" w:lastColumn="0" w:noHBand="0" w:noVBand="1"/>
      </w:tblPr>
      <w:tblGrid>
        <w:gridCol w:w="9962"/>
      </w:tblGrid>
      <w:tr w:rsidR="009D2794" w14:paraId="7654B8C7" w14:textId="77777777" w:rsidTr="009D2794">
        <w:tc>
          <w:tcPr>
            <w:tcW w:w="9962" w:type="dxa"/>
          </w:tcPr>
          <w:p w14:paraId="50C9B49B" w14:textId="77777777" w:rsidR="00761CCC" w:rsidRPr="0000076E" w:rsidRDefault="00761CCC" w:rsidP="00761CCC">
            <w:pPr>
              <w:rPr>
                <w:rFonts w:eastAsia="DengXian"/>
                <w:sz w:val="20"/>
                <w:szCs w:val="20"/>
                <w:lang w:eastAsia="zh-CN"/>
              </w:rPr>
            </w:pPr>
            <w:r w:rsidRPr="0000076E">
              <w:rPr>
                <w:rFonts w:eastAsia="DengXian"/>
                <w:bCs/>
                <w:sz w:val="20"/>
                <w:szCs w:val="20"/>
                <w:highlight w:val="green"/>
                <w:lang w:eastAsia="zh-CN"/>
              </w:rPr>
              <w:t>Agreement</w:t>
            </w:r>
          </w:p>
          <w:p w14:paraId="65227021" w14:textId="77777777" w:rsidR="00761CCC" w:rsidRPr="0000076E" w:rsidRDefault="00761CCC" w:rsidP="00761CCC">
            <w:pPr>
              <w:rPr>
                <w:rFonts w:eastAsia="DengXian"/>
                <w:sz w:val="20"/>
                <w:szCs w:val="20"/>
                <w:lang w:eastAsia="zh-CN"/>
              </w:rPr>
            </w:pPr>
            <w:r w:rsidRPr="0000076E">
              <w:rPr>
                <w:rFonts w:hint="eastAsia"/>
                <w:sz w:val="20"/>
                <w:szCs w:val="20"/>
                <w:lang w:eastAsia="zh-CN"/>
              </w:rPr>
              <w:t>F</w:t>
            </w:r>
            <w:r w:rsidRPr="0000076E">
              <w:rPr>
                <w:sz w:val="20"/>
                <w:szCs w:val="20"/>
                <w:lang w:eastAsia="zh-CN"/>
              </w:rPr>
              <w:t xml:space="preserve">or this study item, the </w:t>
            </w:r>
            <w:r w:rsidRPr="0000076E">
              <w:rPr>
                <w:rFonts w:eastAsia="DengXian" w:hint="eastAsia"/>
                <w:sz w:val="20"/>
                <w:szCs w:val="20"/>
                <w:lang w:eastAsia="zh-CN"/>
              </w:rPr>
              <w:t xml:space="preserve">coverage </w:t>
            </w:r>
            <w:r w:rsidRPr="0000076E">
              <w:rPr>
                <w:sz w:val="20"/>
                <w:szCs w:val="20"/>
              </w:rPr>
              <w:t xml:space="preserve">evaluation methodology is based on </w:t>
            </w:r>
            <w:r w:rsidRPr="0000076E">
              <w:rPr>
                <w:rFonts w:eastAsia="DengXian" w:hint="eastAsia"/>
                <w:sz w:val="20"/>
                <w:szCs w:val="20"/>
                <w:lang w:eastAsia="zh-CN"/>
              </w:rPr>
              <w:t>the following</w:t>
            </w:r>
            <w:r w:rsidRPr="0000076E">
              <w:rPr>
                <w:sz w:val="20"/>
                <w:szCs w:val="20"/>
              </w:rPr>
              <w:t xml:space="preserve"> steps. </w:t>
            </w:r>
          </w:p>
          <w:p w14:paraId="75348950" w14:textId="77777777" w:rsidR="00761CCC" w:rsidRPr="0000076E" w:rsidRDefault="00761CCC" w:rsidP="00761CCC">
            <w:pPr>
              <w:rPr>
                <w:rFonts w:eastAsia="DengXian"/>
                <w:sz w:val="20"/>
                <w:szCs w:val="20"/>
                <w:lang w:eastAsia="zh-CN"/>
              </w:rPr>
            </w:pPr>
          </w:p>
          <w:p w14:paraId="7B84AE68" w14:textId="77777777" w:rsidR="00761CCC" w:rsidRPr="0000076E" w:rsidRDefault="00761CCC" w:rsidP="00761CCC">
            <w:pPr>
              <w:rPr>
                <w:rFonts w:eastAsia="DengXian"/>
                <w:sz w:val="20"/>
                <w:szCs w:val="20"/>
                <w:lang w:eastAsia="zh-CN"/>
              </w:rPr>
            </w:pPr>
            <w:r w:rsidRPr="0000076E">
              <w:rPr>
                <w:rFonts w:eastAsia="DengXian" w:hint="eastAsia"/>
                <w:sz w:val="20"/>
                <w:szCs w:val="20"/>
                <w:lang w:eastAsia="zh-CN"/>
              </w:rPr>
              <w:t>For an evaluation scenario</w:t>
            </w:r>
          </w:p>
          <w:p w14:paraId="2C23BECC" w14:textId="77777777" w:rsidR="00761CCC" w:rsidRPr="0000076E" w:rsidRDefault="00761CCC" w:rsidP="00C20ADC">
            <w:pPr>
              <w:numPr>
                <w:ilvl w:val="0"/>
                <w:numId w:val="19"/>
              </w:numPr>
              <w:jc w:val="both"/>
              <w:rPr>
                <w:bCs/>
                <w:i/>
                <w:sz w:val="20"/>
                <w:szCs w:val="20"/>
                <w:lang w:eastAsia="zh-CN"/>
              </w:rPr>
            </w:pPr>
            <w:r w:rsidRPr="0000076E">
              <w:rPr>
                <w:rFonts w:eastAsia="DengXian" w:hint="eastAsia"/>
                <w:bCs/>
                <w:iCs/>
                <w:sz w:val="20"/>
                <w:szCs w:val="20"/>
                <w:lang w:eastAsia="zh-CN"/>
              </w:rPr>
              <w:t xml:space="preserve">For each of the link </w:t>
            </w:r>
            <w:r w:rsidRPr="0000076E">
              <w:rPr>
                <w:rFonts w:eastAsia="DengXian" w:hint="eastAsia"/>
                <w:bCs/>
                <w:i/>
                <w:sz w:val="20"/>
                <w:szCs w:val="20"/>
                <w:lang w:eastAsia="zh-CN"/>
              </w:rPr>
              <w:t>i</w:t>
            </w:r>
            <w:r w:rsidRPr="0000076E">
              <w:rPr>
                <w:rFonts w:eastAsia="DengXian" w:hint="eastAsia"/>
                <w:bCs/>
                <w:iCs/>
                <w:sz w:val="20"/>
                <w:szCs w:val="20"/>
                <w:lang w:eastAsia="zh-CN"/>
              </w:rPr>
              <w:t xml:space="preserve">, </w:t>
            </w:r>
          </w:p>
          <w:p w14:paraId="725B6B0D" w14:textId="77777777" w:rsidR="00761CCC" w:rsidRPr="0000076E" w:rsidRDefault="00761CCC" w:rsidP="00C20ADC">
            <w:pPr>
              <w:numPr>
                <w:ilvl w:val="1"/>
                <w:numId w:val="19"/>
              </w:numPr>
              <w:jc w:val="both"/>
              <w:rPr>
                <w:b/>
                <w:i/>
                <w:sz w:val="20"/>
                <w:szCs w:val="20"/>
                <w:lang w:eastAsia="zh-CN"/>
              </w:rPr>
            </w:pPr>
            <w:r w:rsidRPr="0000076E">
              <w:rPr>
                <w:rFonts w:eastAsia="DengXian" w:hint="eastAsia"/>
                <w:sz w:val="20"/>
                <w:szCs w:val="20"/>
                <w:lang w:eastAsia="zh-CN"/>
              </w:rPr>
              <w:t xml:space="preserve">Step 1: </w:t>
            </w:r>
            <w:r w:rsidRPr="0000076E">
              <w:rPr>
                <w:sz w:val="20"/>
                <w:szCs w:val="20"/>
              </w:rPr>
              <w:t>Obtain the required SINR for the physical channels under target scenarios and service/reliability requirements</w:t>
            </w:r>
            <w:r w:rsidRPr="0000076E">
              <w:rPr>
                <w:rFonts w:eastAsia="DengXian" w:hint="eastAsia"/>
                <w:sz w:val="20"/>
                <w:szCs w:val="20"/>
                <w:lang w:eastAsia="zh-CN"/>
              </w:rPr>
              <w:t xml:space="preserve"> if </w:t>
            </w:r>
            <w:r w:rsidRPr="0000076E">
              <w:rPr>
                <w:rFonts w:eastAsia="DengXian" w:hint="eastAsia"/>
                <w:b/>
                <w:bCs/>
                <w:sz w:val="20"/>
                <w:szCs w:val="20"/>
                <w:lang w:eastAsia="zh-CN"/>
              </w:rPr>
              <w:t>Budget-Alt2</w:t>
            </w:r>
            <w:r w:rsidRPr="0000076E">
              <w:rPr>
                <w:rFonts w:eastAsia="DengXian" w:hint="eastAsia"/>
                <w:sz w:val="20"/>
                <w:szCs w:val="20"/>
                <w:lang w:eastAsia="zh-CN"/>
              </w:rPr>
              <w:t xml:space="preserve"> is used for this link </w:t>
            </w:r>
            <w:r w:rsidRPr="0000076E">
              <w:rPr>
                <w:rFonts w:eastAsia="DengXian" w:hint="eastAsia"/>
                <w:i/>
                <w:iCs/>
                <w:sz w:val="20"/>
                <w:szCs w:val="20"/>
                <w:lang w:eastAsia="zh-CN"/>
              </w:rPr>
              <w:t>i</w:t>
            </w:r>
            <w:r w:rsidRPr="0000076E">
              <w:rPr>
                <w:sz w:val="20"/>
                <w:szCs w:val="20"/>
              </w:rPr>
              <w:t>.</w:t>
            </w:r>
          </w:p>
          <w:p w14:paraId="3826D4D9" w14:textId="77777777" w:rsidR="00761CCC" w:rsidRPr="0000076E" w:rsidRDefault="00761CCC" w:rsidP="00C20ADC">
            <w:pPr>
              <w:numPr>
                <w:ilvl w:val="1"/>
                <w:numId w:val="19"/>
              </w:numPr>
              <w:jc w:val="both"/>
              <w:rPr>
                <w:b/>
                <w:i/>
                <w:sz w:val="20"/>
                <w:szCs w:val="20"/>
                <w:lang w:eastAsia="zh-CN"/>
              </w:rPr>
            </w:pPr>
            <w:r w:rsidRPr="0000076E">
              <w:rPr>
                <w:rFonts w:eastAsia="DengXian" w:hint="eastAsia"/>
                <w:sz w:val="20"/>
                <w:szCs w:val="20"/>
                <w:lang w:eastAsia="zh-CN"/>
              </w:rPr>
              <w:t>Step 2: Obtain the receive</w:t>
            </w:r>
            <w:r w:rsidRPr="0000076E">
              <w:rPr>
                <w:rFonts w:eastAsia="DengXian"/>
                <w:sz w:val="20"/>
                <w:szCs w:val="20"/>
                <w:lang w:eastAsia="zh-CN"/>
              </w:rPr>
              <w:t>r</w:t>
            </w:r>
            <w:r w:rsidRPr="0000076E">
              <w:rPr>
                <w:rFonts w:eastAsia="DengXian" w:hint="eastAsia"/>
                <w:sz w:val="20"/>
                <w:szCs w:val="20"/>
                <w:lang w:eastAsia="zh-CN"/>
              </w:rPr>
              <w:t xml:space="preserve"> sensitivity using the method </w:t>
            </w:r>
            <w:r w:rsidRPr="0000076E">
              <w:rPr>
                <w:rFonts w:eastAsia="DengXian" w:hint="eastAsia"/>
                <w:b/>
                <w:bCs/>
                <w:sz w:val="20"/>
                <w:szCs w:val="20"/>
                <w:lang w:eastAsia="zh-CN"/>
              </w:rPr>
              <w:t>Budget-Alt1</w:t>
            </w:r>
            <w:r w:rsidRPr="0000076E">
              <w:rPr>
                <w:rFonts w:eastAsia="DengXian"/>
                <w:bCs/>
                <w:sz w:val="20"/>
                <w:szCs w:val="20"/>
                <w:lang w:eastAsia="zh-CN"/>
              </w:rPr>
              <w:t xml:space="preserve"> (if a </w:t>
            </w:r>
            <w:r w:rsidRPr="0000076E">
              <w:rPr>
                <w:rFonts w:eastAsia="DengXian" w:hint="eastAsia"/>
                <w:sz w:val="20"/>
                <w:szCs w:val="20"/>
                <w:lang w:eastAsia="zh-CN"/>
              </w:rPr>
              <w:t>predefined</w:t>
            </w:r>
            <w:r w:rsidRPr="0000076E">
              <w:rPr>
                <w:rFonts w:eastAsia="DengXian"/>
                <w:bCs/>
                <w:sz w:val="20"/>
                <w:szCs w:val="20"/>
                <w:lang w:eastAsia="zh-CN"/>
              </w:rPr>
              <w:t xml:space="preserve"> threshold is assumed to derive the receiver sensitivity)</w:t>
            </w:r>
            <w:r w:rsidRPr="0000076E">
              <w:rPr>
                <w:rFonts w:eastAsia="DengXian" w:hint="eastAsia"/>
                <w:b/>
                <w:bCs/>
                <w:sz w:val="20"/>
                <w:szCs w:val="20"/>
                <w:lang w:eastAsia="zh-CN"/>
              </w:rPr>
              <w:t xml:space="preserve"> </w:t>
            </w:r>
            <w:r w:rsidRPr="0000076E">
              <w:rPr>
                <w:rFonts w:eastAsia="DengXian" w:hint="eastAsia"/>
                <w:sz w:val="20"/>
                <w:szCs w:val="20"/>
                <w:lang w:eastAsia="zh-CN"/>
              </w:rPr>
              <w:t>or</w:t>
            </w:r>
            <w:r w:rsidRPr="0000076E">
              <w:rPr>
                <w:rFonts w:eastAsia="DengXian" w:hint="eastAsia"/>
                <w:b/>
                <w:bCs/>
                <w:sz w:val="20"/>
                <w:szCs w:val="20"/>
                <w:lang w:eastAsia="zh-CN"/>
              </w:rPr>
              <w:t xml:space="preserve"> Budget-Alt2</w:t>
            </w:r>
            <w:r w:rsidRPr="0000076E">
              <w:rPr>
                <w:rFonts w:eastAsia="DengXian"/>
                <w:bCs/>
                <w:sz w:val="20"/>
                <w:szCs w:val="20"/>
                <w:lang w:eastAsia="zh-CN"/>
              </w:rPr>
              <w:t xml:space="preserve"> (if no </w:t>
            </w:r>
            <w:r w:rsidRPr="0000076E">
              <w:rPr>
                <w:rFonts w:eastAsia="DengXian" w:hint="eastAsia"/>
                <w:sz w:val="20"/>
                <w:szCs w:val="20"/>
                <w:lang w:eastAsia="zh-CN"/>
              </w:rPr>
              <w:t xml:space="preserve">predefined </w:t>
            </w:r>
            <w:r w:rsidRPr="0000076E">
              <w:rPr>
                <w:rFonts w:eastAsia="DengXian"/>
                <w:bCs/>
                <w:sz w:val="20"/>
                <w:szCs w:val="20"/>
                <w:lang w:eastAsia="zh-CN"/>
              </w:rPr>
              <w:t>threshold is assumed to derive the receiver sensitivity)</w:t>
            </w:r>
            <w:r w:rsidRPr="0000076E">
              <w:rPr>
                <w:rFonts w:eastAsia="DengXian" w:hint="eastAsia"/>
                <w:sz w:val="20"/>
                <w:szCs w:val="20"/>
                <w:lang w:eastAsia="zh-CN"/>
              </w:rPr>
              <w:t>.</w:t>
            </w:r>
          </w:p>
          <w:p w14:paraId="44C05DE0" w14:textId="77777777" w:rsidR="00761CCC" w:rsidRPr="0000076E" w:rsidRDefault="00761CCC" w:rsidP="00C20ADC">
            <w:pPr>
              <w:numPr>
                <w:ilvl w:val="1"/>
                <w:numId w:val="19"/>
              </w:numPr>
              <w:jc w:val="both"/>
              <w:rPr>
                <w:b/>
                <w:i/>
                <w:sz w:val="20"/>
                <w:szCs w:val="20"/>
                <w:lang w:eastAsia="zh-CN"/>
              </w:rPr>
            </w:pPr>
            <w:r w:rsidRPr="0000076E">
              <w:rPr>
                <w:rFonts w:eastAsia="DengXian" w:hint="eastAsia"/>
                <w:bCs/>
                <w:iCs/>
                <w:sz w:val="20"/>
                <w:szCs w:val="20"/>
                <w:lang w:eastAsia="zh-CN"/>
              </w:rPr>
              <w:t xml:space="preserve">Step 3: </w:t>
            </w:r>
            <w:r w:rsidRPr="0000076E">
              <w:rPr>
                <w:sz w:val="20"/>
                <w:szCs w:val="20"/>
              </w:rPr>
              <w:t xml:space="preserve">Obtain the </w:t>
            </w:r>
            <w:r w:rsidRPr="0000076E">
              <w:rPr>
                <w:rFonts w:eastAsia="DengXian" w:hint="eastAsia"/>
                <w:sz w:val="20"/>
                <w:szCs w:val="20"/>
                <w:lang w:eastAsia="zh-CN"/>
              </w:rPr>
              <w:t>coverage</w:t>
            </w:r>
            <w:r w:rsidRPr="0000076E">
              <w:rPr>
                <w:sz w:val="20"/>
                <w:szCs w:val="20"/>
              </w:rPr>
              <w:t xml:space="preserve"> performance</w:t>
            </w:r>
            <w:r w:rsidRPr="0000076E">
              <w:rPr>
                <w:rFonts w:eastAsia="DengXian" w:hint="eastAsia"/>
                <w:sz w:val="20"/>
                <w:szCs w:val="20"/>
                <w:lang w:eastAsia="zh-CN"/>
              </w:rPr>
              <w:t xml:space="preserve"> for link </w:t>
            </w:r>
            <w:r w:rsidRPr="0000076E">
              <w:rPr>
                <w:rFonts w:eastAsia="DengXian" w:hint="eastAsia"/>
                <w:i/>
                <w:iCs/>
                <w:sz w:val="20"/>
                <w:szCs w:val="20"/>
                <w:lang w:eastAsia="zh-CN"/>
              </w:rPr>
              <w:t>i</w:t>
            </w:r>
            <w:r w:rsidRPr="0000076E">
              <w:rPr>
                <w:sz w:val="20"/>
                <w:szCs w:val="20"/>
              </w:rPr>
              <w:t xml:space="preserve"> based on </w:t>
            </w:r>
            <w:r w:rsidRPr="0000076E">
              <w:rPr>
                <w:rFonts w:eastAsia="DengXian" w:hint="eastAsia"/>
                <w:sz w:val="20"/>
                <w:szCs w:val="20"/>
                <w:lang w:eastAsia="zh-CN"/>
              </w:rPr>
              <w:t>the receive</w:t>
            </w:r>
            <w:r w:rsidRPr="0000076E">
              <w:rPr>
                <w:rFonts w:eastAsia="DengXian"/>
                <w:sz w:val="20"/>
                <w:szCs w:val="20"/>
                <w:lang w:eastAsia="zh-CN"/>
              </w:rPr>
              <w:t>r</w:t>
            </w:r>
            <w:r w:rsidRPr="0000076E">
              <w:rPr>
                <w:rFonts w:eastAsia="DengXian" w:hint="eastAsia"/>
                <w:sz w:val="20"/>
                <w:szCs w:val="20"/>
                <w:lang w:eastAsia="zh-CN"/>
              </w:rPr>
              <w:t xml:space="preserve"> sensitivity from step 2</w:t>
            </w:r>
            <w:r w:rsidRPr="0000076E">
              <w:rPr>
                <w:sz w:val="20"/>
                <w:szCs w:val="20"/>
              </w:rPr>
              <w:t xml:space="preserve"> and link budget template.</w:t>
            </w:r>
          </w:p>
          <w:p w14:paraId="22DE3A6F" w14:textId="77777777" w:rsidR="00761CCC" w:rsidRPr="0000076E" w:rsidRDefault="00761CCC" w:rsidP="00C20ADC">
            <w:pPr>
              <w:numPr>
                <w:ilvl w:val="0"/>
                <w:numId w:val="19"/>
              </w:numPr>
              <w:jc w:val="both"/>
              <w:rPr>
                <w:b/>
                <w:i/>
                <w:sz w:val="20"/>
                <w:szCs w:val="20"/>
                <w:lang w:eastAsia="zh-CN"/>
              </w:rPr>
            </w:pPr>
            <w:r w:rsidRPr="0000076E">
              <w:rPr>
                <w:rFonts w:eastAsia="DengXian" w:hint="eastAsia"/>
                <w:sz w:val="20"/>
                <w:szCs w:val="20"/>
                <w:lang w:eastAsia="zh-CN"/>
              </w:rPr>
              <w:t xml:space="preserve">The coverage </w:t>
            </w:r>
            <w:r w:rsidRPr="0000076E">
              <w:rPr>
                <w:rFonts w:eastAsia="DengXian"/>
                <w:sz w:val="20"/>
                <w:szCs w:val="20"/>
                <w:lang w:eastAsia="zh-CN"/>
              </w:rPr>
              <w:t>results</w:t>
            </w:r>
            <w:r w:rsidRPr="0000076E">
              <w:rPr>
                <w:rFonts w:eastAsia="DengXian" w:hint="eastAsia"/>
                <w:sz w:val="20"/>
                <w:szCs w:val="20"/>
                <w:lang w:eastAsia="zh-CN"/>
              </w:rPr>
              <w:t xml:space="preserve"> for each link</w:t>
            </w:r>
            <w:r w:rsidRPr="0000076E">
              <w:rPr>
                <w:rFonts w:eastAsia="DengXian"/>
                <w:sz w:val="20"/>
                <w:szCs w:val="20"/>
                <w:lang w:eastAsia="zh-CN"/>
              </w:rPr>
              <w:t xml:space="preserve"> </w:t>
            </w:r>
            <w:r w:rsidRPr="0000076E">
              <w:rPr>
                <w:rFonts w:eastAsia="DengXian" w:hint="eastAsia"/>
                <w:sz w:val="20"/>
                <w:szCs w:val="20"/>
                <w:lang w:eastAsia="zh-CN"/>
              </w:rPr>
              <w:t>are provided.</w:t>
            </w:r>
          </w:p>
          <w:p w14:paraId="427488EB" w14:textId="77777777" w:rsidR="00761CCC" w:rsidRPr="0000076E" w:rsidRDefault="00761CCC" w:rsidP="00C20ADC">
            <w:pPr>
              <w:numPr>
                <w:ilvl w:val="0"/>
                <w:numId w:val="19"/>
              </w:numPr>
              <w:jc w:val="both"/>
              <w:rPr>
                <w:b/>
                <w:i/>
                <w:sz w:val="20"/>
                <w:szCs w:val="20"/>
                <w:lang w:eastAsia="zh-CN"/>
              </w:rPr>
            </w:pPr>
            <w:r w:rsidRPr="0000076E">
              <w:rPr>
                <w:rFonts w:eastAsia="DengXian" w:hint="eastAsia"/>
                <w:bCs/>
                <w:iCs/>
                <w:sz w:val="20"/>
                <w:szCs w:val="20"/>
                <w:lang w:eastAsia="zh-CN"/>
              </w:rPr>
              <w:t xml:space="preserve">FFS: </w:t>
            </w:r>
            <w:r w:rsidRPr="0000076E">
              <w:rPr>
                <w:rFonts w:eastAsia="DengXian"/>
                <w:bCs/>
                <w:iCs/>
                <w:sz w:val="20"/>
                <w:szCs w:val="20"/>
                <w:lang w:eastAsia="zh-CN"/>
              </w:rPr>
              <w:t>what links are evaluated besides R2D and D2R (e.g.</w:t>
            </w:r>
            <w:r w:rsidRPr="0000076E">
              <w:rPr>
                <w:rFonts w:eastAsia="DengXian" w:hint="eastAsia"/>
                <w:bCs/>
                <w:iCs/>
                <w:sz w:val="20"/>
                <w:szCs w:val="20"/>
                <w:lang w:eastAsia="zh-CN"/>
              </w:rPr>
              <w:t xml:space="preserve">, </w:t>
            </w:r>
            <w:r w:rsidRPr="0000076E">
              <w:rPr>
                <w:rFonts w:eastAsia="DengXian"/>
                <w:bCs/>
                <w:iCs/>
                <w:sz w:val="20"/>
                <w:szCs w:val="20"/>
                <w:lang w:eastAsia="zh-CN"/>
              </w:rPr>
              <w:t>RF-EH)</w:t>
            </w:r>
          </w:p>
          <w:p w14:paraId="0BB57BFC" w14:textId="77777777" w:rsidR="00761CCC" w:rsidRPr="0000076E" w:rsidRDefault="00761CCC" w:rsidP="00C20ADC">
            <w:pPr>
              <w:numPr>
                <w:ilvl w:val="0"/>
                <w:numId w:val="19"/>
              </w:numPr>
              <w:jc w:val="both"/>
              <w:rPr>
                <w:rFonts w:eastAsia="DengXian"/>
                <w:b/>
                <w:i/>
                <w:sz w:val="20"/>
                <w:szCs w:val="20"/>
                <w:lang w:eastAsia="zh-CN"/>
              </w:rPr>
            </w:pPr>
            <w:r w:rsidRPr="0000076E">
              <w:rPr>
                <w:rFonts w:eastAsia="DengXian" w:hint="eastAsia"/>
                <w:sz w:val="20"/>
                <w:szCs w:val="20"/>
                <w:lang w:eastAsia="zh-CN"/>
              </w:rPr>
              <w:t xml:space="preserve">FFS </w:t>
            </w:r>
            <w:r w:rsidRPr="0000076E">
              <w:rPr>
                <w:rFonts w:eastAsia="DengXian"/>
                <w:sz w:val="20"/>
                <w:szCs w:val="20"/>
                <w:lang w:eastAsia="zh-CN"/>
              </w:rPr>
              <w:t>whether/</w:t>
            </w:r>
            <w:r w:rsidRPr="0000076E">
              <w:rPr>
                <w:rFonts w:eastAsia="DengXian" w:hint="eastAsia"/>
                <w:sz w:val="20"/>
                <w:szCs w:val="20"/>
                <w:lang w:eastAsia="zh-CN"/>
              </w:rPr>
              <w:t>how to model the interferenceF</w:t>
            </w:r>
            <w:r w:rsidRPr="0000076E">
              <w:rPr>
                <w:rFonts w:eastAsia="DengXian"/>
                <w:sz w:val="20"/>
                <w:szCs w:val="20"/>
                <w:lang w:eastAsia="zh-CN"/>
              </w:rPr>
              <w:t>FS: for which device(s) a predefined threshold is assumed</w:t>
            </w:r>
          </w:p>
          <w:p w14:paraId="4C623981" w14:textId="77777777" w:rsidR="00761CCC" w:rsidRPr="0000076E" w:rsidRDefault="00761CCC" w:rsidP="00761CCC">
            <w:pPr>
              <w:rPr>
                <w:rFonts w:eastAsia="DengXian"/>
                <w:sz w:val="20"/>
                <w:szCs w:val="20"/>
                <w:lang w:eastAsia="zh-CN"/>
              </w:rPr>
            </w:pPr>
          </w:p>
          <w:p w14:paraId="6F44E439" w14:textId="77777777" w:rsidR="00761CCC" w:rsidRPr="0000076E" w:rsidRDefault="00761CCC" w:rsidP="00761CCC">
            <w:pPr>
              <w:rPr>
                <w:rFonts w:eastAsia="DengXian"/>
                <w:sz w:val="20"/>
                <w:szCs w:val="20"/>
                <w:lang w:eastAsia="zh-CN"/>
              </w:rPr>
            </w:pPr>
            <w:r w:rsidRPr="0000076E">
              <w:rPr>
                <w:rFonts w:eastAsia="DengXian" w:hint="eastAsia"/>
                <w:sz w:val="20"/>
                <w:szCs w:val="20"/>
                <w:lang w:eastAsia="zh-CN"/>
              </w:rPr>
              <w:t>Note the following alternatives for obtaining receive</w:t>
            </w:r>
            <w:r w:rsidRPr="0000076E">
              <w:rPr>
                <w:rFonts w:eastAsia="DengXian"/>
                <w:sz w:val="20"/>
                <w:szCs w:val="20"/>
                <w:lang w:eastAsia="zh-CN"/>
              </w:rPr>
              <w:t>r</w:t>
            </w:r>
            <w:r w:rsidRPr="0000076E">
              <w:rPr>
                <w:rFonts w:eastAsia="DengXian" w:hint="eastAsia"/>
                <w:sz w:val="20"/>
                <w:szCs w:val="20"/>
                <w:lang w:eastAsia="zh-CN"/>
              </w:rPr>
              <w:t xml:space="preserve"> sensitivity are defined, </w:t>
            </w:r>
          </w:p>
          <w:p w14:paraId="40F46128" w14:textId="77777777" w:rsidR="00761CCC" w:rsidRPr="0000076E" w:rsidRDefault="00761CCC" w:rsidP="00761CCC">
            <w:pPr>
              <w:rPr>
                <w:rFonts w:eastAsia="DengXian"/>
                <w:sz w:val="20"/>
                <w:szCs w:val="20"/>
                <w:lang w:eastAsia="zh-CN"/>
              </w:rPr>
            </w:pPr>
          </w:p>
          <w:p w14:paraId="7A401E82" w14:textId="77777777" w:rsidR="00761CCC" w:rsidRPr="0000076E" w:rsidRDefault="00761CCC" w:rsidP="00C20ADC">
            <w:pPr>
              <w:numPr>
                <w:ilvl w:val="0"/>
                <w:numId w:val="19"/>
              </w:numPr>
              <w:jc w:val="both"/>
              <w:rPr>
                <w:rFonts w:eastAsia="DengXian"/>
                <w:sz w:val="20"/>
                <w:szCs w:val="20"/>
                <w:lang w:eastAsia="zh-CN"/>
              </w:rPr>
            </w:pPr>
            <w:r w:rsidRPr="0000076E">
              <w:rPr>
                <w:rFonts w:eastAsia="DengXian" w:hint="eastAsia"/>
                <w:b/>
                <w:bCs/>
                <w:sz w:val="20"/>
                <w:szCs w:val="20"/>
                <w:lang w:eastAsia="zh-CN"/>
              </w:rPr>
              <w:t>Budget-Alt1:</w:t>
            </w:r>
            <w:r w:rsidRPr="0000076E">
              <w:rPr>
                <w:rFonts w:eastAsia="DengXian" w:hint="eastAsia"/>
                <w:sz w:val="20"/>
                <w:szCs w:val="20"/>
                <w:lang w:eastAsia="zh-CN"/>
              </w:rPr>
              <w:t xml:space="preserve"> receive</w:t>
            </w:r>
            <w:r w:rsidRPr="0000076E">
              <w:rPr>
                <w:rFonts w:eastAsia="DengXian"/>
                <w:sz w:val="20"/>
                <w:szCs w:val="20"/>
                <w:lang w:eastAsia="zh-CN"/>
              </w:rPr>
              <w:t>r</w:t>
            </w:r>
            <w:r w:rsidRPr="0000076E">
              <w:rPr>
                <w:rFonts w:eastAsia="DengXian" w:hint="eastAsia"/>
                <w:sz w:val="20"/>
                <w:szCs w:val="20"/>
                <w:lang w:eastAsia="zh-CN"/>
              </w:rPr>
              <w:t xml:space="preserve"> sensitivity is derived by a predefined threshold and no LLS is needed for link budget calculation</w:t>
            </w:r>
          </w:p>
          <w:p w14:paraId="08DF5F69"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hint="eastAsia"/>
                <w:sz w:val="20"/>
                <w:szCs w:val="20"/>
                <w:lang w:eastAsia="zh-CN"/>
              </w:rPr>
              <w:t xml:space="preserve">The results rely on the received sensitivity and maximum transmit power, and directly calculate the maximum distance / pathloss based on these values and other related parameters. </w:t>
            </w:r>
            <w:r w:rsidRPr="0000076E">
              <w:rPr>
                <w:rFonts w:eastAsia="DengXian"/>
                <w:sz w:val="20"/>
                <w:szCs w:val="20"/>
                <w:lang w:eastAsia="zh-CN"/>
              </w:rPr>
              <w:t>T</w:t>
            </w:r>
            <w:r w:rsidRPr="0000076E">
              <w:rPr>
                <w:rFonts w:eastAsia="DengXian" w:hint="eastAsia"/>
                <w:sz w:val="20"/>
                <w:szCs w:val="20"/>
                <w:lang w:eastAsia="zh-CN"/>
              </w:rPr>
              <w:t>he link-level simulation (LLS) performances, such as required SINR can be satisfied for such case and no LLS is needed for link budget calculation.</w:t>
            </w:r>
          </w:p>
          <w:p w14:paraId="7C5BEE1F" w14:textId="77777777" w:rsidR="00761CCC" w:rsidRPr="0000076E" w:rsidRDefault="00761CCC" w:rsidP="00761CCC">
            <w:pPr>
              <w:ind w:firstLine="200"/>
              <w:rPr>
                <w:rFonts w:eastAsia="DengXian"/>
                <w:sz w:val="20"/>
                <w:szCs w:val="20"/>
                <w:lang w:eastAsia="zh-CN"/>
              </w:rPr>
            </w:pPr>
          </w:p>
          <w:p w14:paraId="6DCB1731" w14:textId="77777777" w:rsidR="00761CCC" w:rsidRPr="0000076E" w:rsidRDefault="00761CCC" w:rsidP="00C20ADC">
            <w:pPr>
              <w:numPr>
                <w:ilvl w:val="0"/>
                <w:numId w:val="19"/>
              </w:numPr>
              <w:jc w:val="both"/>
              <w:rPr>
                <w:rFonts w:eastAsia="DengXian"/>
                <w:sz w:val="20"/>
                <w:szCs w:val="20"/>
                <w:lang w:eastAsia="zh-CN"/>
              </w:rPr>
            </w:pPr>
            <w:r w:rsidRPr="0000076E">
              <w:rPr>
                <w:rFonts w:eastAsia="DengXian" w:hint="eastAsia"/>
                <w:b/>
                <w:bCs/>
                <w:sz w:val="20"/>
                <w:szCs w:val="20"/>
                <w:lang w:eastAsia="zh-CN"/>
              </w:rPr>
              <w:t xml:space="preserve">Budget-Alt2: </w:t>
            </w:r>
            <w:r w:rsidRPr="0000076E">
              <w:rPr>
                <w:rFonts w:eastAsia="DengXian" w:hint="eastAsia"/>
                <w:sz w:val="20"/>
                <w:szCs w:val="20"/>
                <w:lang w:eastAsia="zh-CN"/>
              </w:rPr>
              <w:t>receive</w:t>
            </w:r>
            <w:r w:rsidRPr="0000076E">
              <w:rPr>
                <w:rFonts w:eastAsia="DengXian"/>
                <w:sz w:val="20"/>
                <w:szCs w:val="20"/>
                <w:lang w:eastAsia="zh-CN"/>
              </w:rPr>
              <w:t>r</w:t>
            </w:r>
            <w:r w:rsidRPr="0000076E">
              <w:rPr>
                <w:rFonts w:eastAsia="DengXian" w:hint="eastAsia"/>
                <w:sz w:val="20"/>
                <w:szCs w:val="20"/>
                <w:lang w:eastAsia="zh-CN"/>
              </w:rPr>
              <w:t xml:space="preserve"> sensitivity is derived by required SINR which is given by LLS results </w:t>
            </w:r>
          </w:p>
          <w:p w14:paraId="23459D6D"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hint="eastAsia"/>
                <w:sz w:val="20"/>
                <w:szCs w:val="20"/>
                <w:lang w:eastAsia="zh-CN"/>
              </w:rPr>
              <w:t xml:space="preserve">The results </w:t>
            </w:r>
            <w:r w:rsidRPr="0000076E">
              <w:rPr>
                <w:sz w:val="20"/>
                <w:szCs w:val="20"/>
              </w:rPr>
              <w:t>rely on link-level simulation</w:t>
            </w:r>
            <w:r w:rsidRPr="0000076E">
              <w:rPr>
                <w:rFonts w:eastAsia="DengXian" w:hint="eastAsia"/>
                <w:sz w:val="20"/>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40B5245B"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hint="eastAsia"/>
                <w:sz w:val="20"/>
                <w:szCs w:val="20"/>
                <w:lang w:eastAsia="zh-CN"/>
              </w:rPr>
              <w:t xml:space="preserve">Note: For noise power, a noise figure value </w:t>
            </w:r>
            <w:r w:rsidRPr="0000076E">
              <w:rPr>
                <w:rFonts w:eastAsia="DengXian"/>
                <w:sz w:val="20"/>
                <w:szCs w:val="20"/>
                <w:lang w:eastAsia="zh-CN"/>
              </w:rPr>
              <w:t>needs</w:t>
            </w:r>
            <w:r w:rsidRPr="0000076E">
              <w:rPr>
                <w:rFonts w:eastAsia="DengXian" w:hint="eastAsia"/>
                <w:sz w:val="20"/>
                <w:szCs w:val="20"/>
                <w:lang w:eastAsia="zh-CN"/>
              </w:rPr>
              <w:t xml:space="preserve"> to be provided.</w:t>
            </w:r>
          </w:p>
          <w:p w14:paraId="00409506" w14:textId="77777777" w:rsidR="00761CCC" w:rsidRPr="0000076E" w:rsidRDefault="00761CCC" w:rsidP="00761CCC">
            <w:pPr>
              <w:rPr>
                <w:sz w:val="20"/>
                <w:szCs w:val="20"/>
                <w:lang w:eastAsia="x-none"/>
              </w:rPr>
            </w:pPr>
          </w:p>
          <w:p w14:paraId="48A1B21D" w14:textId="77777777" w:rsidR="00761CCC" w:rsidRPr="0000076E" w:rsidRDefault="00761CCC" w:rsidP="00761CCC">
            <w:pPr>
              <w:rPr>
                <w:sz w:val="20"/>
                <w:szCs w:val="20"/>
                <w:lang w:eastAsia="x-none"/>
              </w:rPr>
            </w:pPr>
          </w:p>
          <w:p w14:paraId="7E3ADF72" w14:textId="77777777" w:rsidR="00761CCC" w:rsidRPr="0000076E" w:rsidRDefault="00761CCC" w:rsidP="00761CCC">
            <w:pPr>
              <w:rPr>
                <w:rFonts w:eastAsia="DengXian"/>
                <w:sz w:val="20"/>
                <w:szCs w:val="20"/>
                <w:lang w:eastAsia="zh-CN"/>
              </w:rPr>
            </w:pPr>
            <w:r w:rsidRPr="0000076E">
              <w:rPr>
                <w:rFonts w:eastAsia="DengXian"/>
                <w:bCs/>
                <w:sz w:val="20"/>
                <w:szCs w:val="20"/>
                <w:highlight w:val="green"/>
                <w:lang w:eastAsia="zh-CN"/>
              </w:rPr>
              <w:t>Agreement</w:t>
            </w:r>
          </w:p>
          <w:p w14:paraId="339B09A2" w14:textId="77777777" w:rsidR="00761CCC" w:rsidRPr="0000076E" w:rsidRDefault="00761CCC" w:rsidP="00761CCC">
            <w:pPr>
              <w:rPr>
                <w:rFonts w:eastAsia="DengXian"/>
                <w:sz w:val="20"/>
                <w:szCs w:val="20"/>
                <w:lang w:eastAsia="zh-CN"/>
              </w:rPr>
            </w:pPr>
            <w:r w:rsidRPr="0000076E">
              <w:rPr>
                <w:rFonts w:eastAsia="DengXian" w:hint="eastAsia"/>
                <w:sz w:val="20"/>
                <w:szCs w:val="20"/>
                <w:lang w:eastAsia="zh-CN"/>
              </w:rPr>
              <w:t xml:space="preserve">MPL and distance is used as performance evaluation metric for link budget </w:t>
            </w:r>
            <w:r w:rsidRPr="0000076E">
              <w:rPr>
                <w:rFonts w:eastAsia="DengXian"/>
                <w:sz w:val="20"/>
                <w:szCs w:val="20"/>
                <w:lang w:eastAsia="zh-CN"/>
              </w:rPr>
              <w:t>calculation</w:t>
            </w:r>
            <w:r w:rsidRPr="0000076E">
              <w:rPr>
                <w:rFonts w:eastAsia="DengXian" w:hint="eastAsia"/>
                <w:sz w:val="20"/>
                <w:szCs w:val="20"/>
                <w:lang w:eastAsia="zh-CN"/>
              </w:rPr>
              <w:t>.</w:t>
            </w:r>
          </w:p>
          <w:p w14:paraId="5DCD5102" w14:textId="77777777" w:rsidR="00761CCC" w:rsidRPr="0000076E" w:rsidRDefault="00761CCC" w:rsidP="00C20ADC">
            <w:pPr>
              <w:numPr>
                <w:ilvl w:val="0"/>
                <w:numId w:val="19"/>
              </w:numPr>
              <w:jc w:val="both"/>
              <w:rPr>
                <w:rFonts w:eastAsia="DengXian"/>
                <w:sz w:val="20"/>
                <w:szCs w:val="20"/>
                <w:lang w:eastAsia="zh-CN"/>
              </w:rPr>
            </w:pPr>
            <w:r w:rsidRPr="0000076E">
              <w:rPr>
                <w:rFonts w:eastAsia="DengXian" w:hint="eastAsia"/>
                <w:sz w:val="20"/>
                <w:szCs w:val="20"/>
                <w:lang w:eastAsia="zh-CN"/>
              </w:rPr>
              <w:t>Note: the distance is derived from MPL and corresponding pathloss model.</w:t>
            </w:r>
          </w:p>
          <w:p w14:paraId="28A9ACAB" w14:textId="77777777" w:rsidR="00761CCC" w:rsidRPr="0000076E" w:rsidRDefault="00761CCC" w:rsidP="00C20ADC">
            <w:pPr>
              <w:numPr>
                <w:ilvl w:val="0"/>
                <w:numId w:val="19"/>
              </w:numPr>
              <w:jc w:val="both"/>
              <w:rPr>
                <w:rFonts w:eastAsia="DengXian"/>
                <w:sz w:val="20"/>
                <w:szCs w:val="20"/>
                <w:lang w:eastAsia="zh-CN"/>
              </w:rPr>
            </w:pPr>
            <w:r w:rsidRPr="0000076E">
              <w:rPr>
                <w:rFonts w:eastAsia="DengXian" w:hint="eastAsia"/>
                <w:sz w:val="20"/>
                <w:szCs w:val="20"/>
                <w:lang w:eastAsia="zh-CN"/>
              </w:rPr>
              <w:t>FFS: Pathloss model</w:t>
            </w:r>
          </w:p>
          <w:p w14:paraId="1051E807" w14:textId="77777777" w:rsidR="00761CCC" w:rsidRPr="0000076E" w:rsidRDefault="00761CCC" w:rsidP="00761CCC">
            <w:pPr>
              <w:rPr>
                <w:sz w:val="20"/>
                <w:szCs w:val="20"/>
                <w:lang w:eastAsia="x-none"/>
              </w:rPr>
            </w:pPr>
          </w:p>
          <w:p w14:paraId="313F0818" w14:textId="77777777" w:rsidR="00761CCC" w:rsidRPr="0000076E" w:rsidRDefault="00761CCC" w:rsidP="00761CCC">
            <w:pPr>
              <w:rPr>
                <w:sz w:val="20"/>
                <w:szCs w:val="20"/>
                <w:lang w:eastAsia="x-none"/>
              </w:rPr>
            </w:pPr>
          </w:p>
          <w:p w14:paraId="5A26595C" w14:textId="77777777" w:rsidR="00761CCC" w:rsidRPr="0000076E" w:rsidRDefault="00761CCC" w:rsidP="00761CCC">
            <w:pPr>
              <w:rPr>
                <w:rFonts w:eastAsia="DengXian"/>
                <w:bCs/>
                <w:sz w:val="20"/>
                <w:szCs w:val="20"/>
                <w:lang w:eastAsia="zh-CN"/>
              </w:rPr>
            </w:pPr>
            <w:r w:rsidRPr="0000076E">
              <w:rPr>
                <w:rFonts w:eastAsia="DengXian"/>
                <w:bCs/>
                <w:sz w:val="20"/>
                <w:szCs w:val="20"/>
                <w:highlight w:val="green"/>
                <w:lang w:eastAsia="zh-CN"/>
              </w:rPr>
              <w:t>Agreement</w:t>
            </w:r>
          </w:p>
          <w:p w14:paraId="0C3EF3B2" w14:textId="77777777" w:rsidR="00761CCC" w:rsidRPr="0000076E" w:rsidRDefault="00761CCC" w:rsidP="00761CCC">
            <w:pPr>
              <w:rPr>
                <w:rFonts w:eastAsia="DengXian"/>
                <w:sz w:val="20"/>
                <w:szCs w:val="20"/>
                <w:lang w:eastAsia="zh-CN"/>
              </w:rPr>
            </w:pPr>
            <w:r w:rsidRPr="0000076E">
              <w:rPr>
                <w:rFonts w:eastAsia="DengXian" w:hint="eastAsia"/>
                <w:sz w:val="20"/>
                <w:szCs w:val="20"/>
                <w:lang w:eastAsia="zh-CN"/>
              </w:rPr>
              <w:t xml:space="preserve">The following pathloss model is used in the coverage evaluation. </w:t>
            </w:r>
          </w:p>
          <w:p w14:paraId="66179BE6" w14:textId="77777777" w:rsidR="00761CCC" w:rsidRPr="0000076E" w:rsidRDefault="00761CCC" w:rsidP="00C20ADC">
            <w:pPr>
              <w:numPr>
                <w:ilvl w:val="0"/>
                <w:numId w:val="19"/>
              </w:numPr>
              <w:jc w:val="both"/>
              <w:rPr>
                <w:rFonts w:eastAsia="DengXian"/>
                <w:sz w:val="20"/>
                <w:szCs w:val="20"/>
                <w:lang w:eastAsia="zh-CN"/>
              </w:rPr>
            </w:pPr>
            <w:r w:rsidRPr="0000076E">
              <w:rPr>
                <w:rFonts w:eastAsia="DengXian" w:hint="eastAsia"/>
                <w:sz w:val="20"/>
                <w:szCs w:val="20"/>
                <w:lang w:eastAsia="zh-CN"/>
              </w:rPr>
              <w:t>For D1T1,</w:t>
            </w:r>
            <w:r w:rsidRPr="0000076E">
              <w:rPr>
                <w:rFonts w:eastAsia="DengXian"/>
                <w:sz w:val="20"/>
                <w:szCs w:val="20"/>
                <w:lang w:eastAsia="zh-CN"/>
              </w:rPr>
              <w:t xml:space="preserve"> </w:t>
            </w:r>
          </w:p>
          <w:p w14:paraId="32C4B526"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sz w:val="20"/>
                <w:szCs w:val="20"/>
                <w:lang w:eastAsia="zh-CN"/>
              </w:rPr>
              <w:t>InF-</w:t>
            </w:r>
            <w:r w:rsidRPr="0000076E">
              <w:rPr>
                <w:rFonts w:eastAsia="DengXian" w:hint="eastAsia"/>
                <w:sz w:val="20"/>
                <w:szCs w:val="20"/>
                <w:lang w:eastAsia="zh-CN"/>
              </w:rPr>
              <w:t>D</w:t>
            </w:r>
            <w:r w:rsidRPr="0000076E">
              <w:rPr>
                <w:rFonts w:eastAsia="DengXian"/>
                <w:sz w:val="20"/>
                <w:szCs w:val="20"/>
                <w:lang w:eastAsia="zh-CN"/>
              </w:rPr>
              <w:t>H</w:t>
            </w:r>
            <w:r w:rsidRPr="0000076E">
              <w:rPr>
                <w:rFonts w:eastAsia="DengXian" w:hint="eastAsia"/>
                <w:sz w:val="20"/>
                <w:szCs w:val="20"/>
                <w:lang w:eastAsia="zh-CN"/>
              </w:rPr>
              <w:t xml:space="preserve"> defined in TR38.901 is used. </w:t>
            </w:r>
          </w:p>
          <w:p w14:paraId="3F66508A"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hint="eastAsia"/>
                <w:sz w:val="20"/>
                <w:szCs w:val="20"/>
                <w:lang w:eastAsia="zh-CN"/>
              </w:rPr>
              <w:t>Decide which of the following is used for each link,</w:t>
            </w:r>
          </w:p>
          <w:p w14:paraId="532CA0E3" w14:textId="77777777" w:rsidR="00761CCC" w:rsidRPr="0000076E" w:rsidRDefault="00761CCC" w:rsidP="00C20ADC">
            <w:pPr>
              <w:numPr>
                <w:ilvl w:val="2"/>
                <w:numId w:val="19"/>
              </w:numPr>
              <w:jc w:val="both"/>
              <w:rPr>
                <w:rFonts w:eastAsia="DengXian"/>
                <w:sz w:val="20"/>
                <w:szCs w:val="20"/>
                <w:lang w:eastAsia="zh-CN"/>
              </w:rPr>
            </w:pPr>
            <w:r w:rsidRPr="0000076E">
              <w:rPr>
                <w:rFonts w:eastAsia="DengXian" w:hint="eastAsia"/>
                <w:sz w:val="20"/>
                <w:szCs w:val="20"/>
                <w:lang w:eastAsia="zh-CN"/>
              </w:rPr>
              <w:t>NLOS</w:t>
            </w:r>
          </w:p>
          <w:p w14:paraId="72250DBD" w14:textId="77777777" w:rsidR="00761CCC" w:rsidRPr="0000076E" w:rsidRDefault="00761CCC" w:rsidP="00C20ADC">
            <w:pPr>
              <w:numPr>
                <w:ilvl w:val="2"/>
                <w:numId w:val="19"/>
              </w:numPr>
              <w:jc w:val="both"/>
              <w:rPr>
                <w:rFonts w:eastAsia="DengXian"/>
                <w:sz w:val="20"/>
                <w:szCs w:val="20"/>
                <w:lang w:eastAsia="zh-CN"/>
              </w:rPr>
            </w:pPr>
            <w:r w:rsidRPr="0000076E">
              <w:rPr>
                <w:rFonts w:eastAsia="DengXian" w:hint="eastAsia"/>
                <w:sz w:val="20"/>
                <w:szCs w:val="20"/>
                <w:lang w:eastAsia="zh-CN"/>
              </w:rPr>
              <w:t>LOS</w:t>
            </w:r>
          </w:p>
          <w:p w14:paraId="128CED5F"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hint="eastAsia"/>
                <w:sz w:val="20"/>
                <w:szCs w:val="20"/>
                <w:lang w:eastAsia="zh-CN"/>
              </w:rPr>
              <w:t>FFS:</w:t>
            </w:r>
            <w:r w:rsidRPr="0000076E">
              <w:rPr>
                <w:rFonts w:eastAsia="DengXian"/>
                <w:sz w:val="20"/>
                <w:szCs w:val="20"/>
                <w:lang w:eastAsia="zh-CN"/>
              </w:rPr>
              <w:t xml:space="preserve"> InF-</w:t>
            </w:r>
            <w:r w:rsidRPr="0000076E">
              <w:rPr>
                <w:rFonts w:eastAsia="DengXian" w:hint="eastAsia"/>
                <w:sz w:val="20"/>
                <w:szCs w:val="20"/>
                <w:lang w:eastAsia="zh-CN"/>
              </w:rPr>
              <w:t>S</w:t>
            </w:r>
            <w:r w:rsidRPr="0000076E">
              <w:rPr>
                <w:rFonts w:eastAsia="DengXian"/>
                <w:sz w:val="20"/>
                <w:szCs w:val="20"/>
                <w:lang w:eastAsia="zh-CN"/>
              </w:rPr>
              <w:t>H</w:t>
            </w:r>
          </w:p>
          <w:p w14:paraId="437B0398" w14:textId="77777777" w:rsidR="00761CCC" w:rsidRPr="0000076E" w:rsidRDefault="00761CCC" w:rsidP="00C20ADC">
            <w:pPr>
              <w:numPr>
                <w:ilvl w:val="0"/>
                <w:numId w:val="19"/>
              </w:numPr>
              <w:jc w:val="both"/>
              <w:rPr>
                <w:sz w:val="20"/>
                <w:szCs w:val="20"/>
                <w:lang w:eastAsia="zh-CN"/>
              </w:rPr>
            </w:pPr>
            <w:r w:rsidRPr="0000076E">
              <w:rPr>
                <w:rFonts w:eastAsia="DengXian" w:hint="eastAsia"/>
                <w:sz w:val="20"/>
                <w:szCs w:val="20"/>
                <w:lang w:eastAsia="zh-CN"/>
              </w:rPr>
              <w:t>F</w:t>
            </w:r>
            <w:r w:rsidRPr="0000076E">
              <w:rPr>
                <w:rFonts w:eastAsia="DengXian"/>
                <w:sz w:val="20"/>
                <w:szCs w:val="20"/>
                <w:lang w:eastAsia="zh-CN"/>
              </w:rPr>
              <w:t>o</w:t>
            </w:r>
            <w:r w:rsidRPr="0000076E">
              <w:rPr>
                <w:rFonts w:eastAsia="DengXian" w:hint="eastAsia"/>
                <w:sz w:val="20"/>
                <w:szCs w:val="20"/>
                <w:lang w:eastAsia="zh-CN"/>
              </w:rPr>
              <w:t>r D2T2, down-select from the following path loss models</w:t>
            </w:r>
          </w:p>
          <w:p w14:paraId="6145ACE4"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sz w:val="20"/>
                <w:szCs w:val="20"/>
                <w:lang w:eastAsia="zh-CN"/>
              </w:rPr>
              <w:t>InF-DL</w:t>
            </w:r>
            <w:r w:rsidRPr="0000076E">
              <w:rPr>
                <w:rFonts w:eastAsia="DengXian" w:hint="eastAsia"/>
                <w:sz w:val="20"/>
                <w:szCs w:val="20"/>
                <w:lang w:eastAsia="zh-CN"/>
              </w:rPr>
              <w:t xml:space="preserve"> defined in TR38.901</w:t>
            </w:r>
            <w:r w:rsidRPr="0000076E">
              <w:rPr>
                <w:rFonts w:eastAsia="DengXian"/>
                <w:sz w:val="20"/>
                <w:szCs w:val="20"/>
                <w:lang w:eastAsia="zh-CN"/>
              </w:rPr>
              <w:t xml:space="preserve"> where the BS path loss model is reused for intermediate-UE with antenna height of 1.5m</w:t>
            </w:r>
          </w:p>
          <w:p w14:paraId="49069C64"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sz w:val="20"/>
                <w:szCs w:val="20"/>
                <w:lang w:eastAsia="zh-CN"/>
              </w:rPr>
              <w:t xml:space="preserve">InH-Office </w:t>
            </w:r>
            <w:r w:rsidRPr="0000076E">
              <w:rPr>
                <w:rFonts w:eastAsia="DengXian" w:hint="eastAsia"/>
                <w:sz w:val="20"/>
                <w:szCs w:val="20"/>
                <w:lang w:eastAsia="zh-CN"/>
              </w:rPr>
              <w:t xml:space="preserve">model defined in TR38.901, (a.k.a, </w:t>
            </w:r>
            <w:r w:rsidRPr="0000076E">
              <w:rPr>
                <w:rFonts w:eastAsia="DengXian"/>
                <w:sz w:val="20"/>
                <w:szCs w:val="20"/>
                <w:lang w:eastAsia="zh-CN"/>
              </w:rPr>
              <w:t>InH_B in Report ITU-R M.2412-0</w:t>
            </w:r>
            <w:r w:rsidRPr="0000076E">
              <w:rPr>
                <w:rFonts w:eastAsia="DengXian" w:hint="eastAsia"/>
                <w:sz w:val="20"/>
                <w:szCs w:val="20"/>
                <w:lang w:eastAsia="zh-CN"/>
              </w:rPr>
              <w:t>)</w:t>
            </w:r>
            <w:r w:rsidRPr="0000076E">
              <w:rPr>
                <w:rFonts w:eastAsia="DengXian"/>
                <w:sz w:val="20"/>
                <w:szCs w:val="20"/>
                <w:lang w:eastAsia="zh-CN"/>
              </w:rPr>
              <w:t xml:space="preserve"> where the BS path loss model is reused for intermediate-UE with antenna height of 1.5m</w:t>
            </w:r>
          </w:p>
          <w:p w14:paraId="1DAA81F2" w14:textId="77777777" w:rsidR="00761CCC" w:rsidRPr="0000076E" w:rsidRDefault="00761CCC" w:rsidP="00C20ADC">
            <w:pPr>
              <w:numPr>
                <w:ilvl w:val="1"/>
                <w:numId w:val="19"/>
              </w:numPr>
              <w:jc w:val="both"/>
              <w:rPr>
                <w:rFonts w:eastAsia="DengXian"/>
                <w:sz w:val="20"/>
                <w:szCs w:val="20"/>
                <w:lang w:eastAsia="zh-CN"/>
              </w:rPr>
            </w:pPr>
            <w:r w:rsidRPr="0000076E">
              <w:rPr>
                <w:rFonts w:eastAsia="DengXian" w:hint="eastAsia"/>
                <w:sz w:val="20"/>
                <w:szCs w:val="20"/>
                <w:lang w:eastAsia="zh-CN"/>
              </w:rPr>
              <w:t>Decide which of the following is used for each link,</w:t>
            </w:r>
          </w:p>
          <w:p w14:paraId="3147DDAF" w14:textId="77777777" w:rsidR="00761CCC" w:rsidRPr="0000076E" w:rsidRDefault="00761CCC" w:rsidP="00C20ADC">
            <w:pPr>
              <w:numPr>
                <w:ilvl w:val="2"/>
                <w:numId w:val="19"/>
              </w:numPr>
              <w:jc w:val="both"/>
              <w:rPr>
                <w:rFonts w:eastAsia="DengXian"/>
                <w:sz w:val="20"/>
                <w:szCs w:val="20"/>
                <w:lang w:eastAsia="zh-CN"/>
              </w:rPr>
            </w:pPr>
            <w:r w:rsidRPr="0000076E">
              <w:rPr>
                <w:rFonts w:eastAsia="DengXian" w:hint="eastAsia"/>
                <w:sz w:val="20"/>
                <w:szCs w:val="20"/>
                <w:lang w:eastAsia="zh-CN"/>
              </w:rPr>
              <w:t>NLOS</w:t>
            </w:r>
          </w:p>
          <w:p w14:paraId="2D1041F7" w14:textId="77777777" w:rsidR="00761CCC" w:rsidRPr="0000076E" w:rsidRDefault="00761CCC" w:rsidP="00C20ADC">
            <w:pPr>
              <w:numPr>
                <w:ilvl w:val="2"/>
                <w:numId w:val="19"/>
              </w:numPr>
              <w:jc w:val="both"/>
              <w:rPr>
                <w:rFonts w:eastAsia="DengXian"/>
                <w:sz w:val="20"/>
                <w:szCs w:val="20"/>
                <w:lang w:eastAsia="zh-CN"/>
              </w:rPr>
            </w:pPr>
            <w:r w:rsidRPr="0000076E">
              <w:rPr>
                <w:rFonts w:eastAsia="DengXian" w:hint="eastAsia"/>
                <w:sz w:val="20"/>
                <w:szCs w:val="20"/>
                <w:lang w:eastAsia="zh-CN"/>
              </w:rPr>
              <w:t>LOS</w:t>
            </w:r>
          </w:p>
          <w:p w14:paraId="63BF6DD4" w14:textId="77777777" w:rsidR="00761CCC" w:rsidRPr="0000076E" w:rsidRDefault="00761CCC" w:rsidP="00761CCC">
            <w:pPr>
              <w:rPr>
                <w:sz w:val="20"/>
                <w:szCs w:val="20"/>
                <w:lang w:eastAsia="x-none"/>
              </w:rPr>
            </w:pPr>
          </w:p>
          <w:p w14:paraId="41E55AB2" w14:textId="77777777" w:rsidR="00761CCC" w:rsidRPr="0000076E" w:rsidRDefault="00761CCC" w:rsidP="00761CCC">
            <w:pPr>
              <w:rPr>
                <w:sz w:val="20"/>
                <w:szCs w:val="20"/>
                <w:lang w:eastAsia="x-none"/>
              </w:rPr>
            </w:pPr>
          </w:p>
          <w:p w14:paraId="7E691929" w14:textId="77777777" w:rsidR="00761CCC" w:rsidRPr="0000076E" w:rsidRDefault="00761CCC" w:rsidP="00761CCC">
            <w:pPr>
              <w:rPr>
                <w:b/>
                <w:sz w:val="20"/>
                <w:szCs w:val="20"/>
                <w:lang w:eastAsia="x-none"/>
              </w:rPr>
            </w:pPr>
            <w:r w:rsidRPr="0000076E">
              <w:rPr>
                <w:b/>
                <w:sz w:val="20"/>
                <w:szCs w:val="20"/>
                <w:lang w:eastAsia="x-none"/>
              </w:rPr>
              <w:t>Conclusion</w:t>
            </w:r>
          </w:p>
          <w:p w14:paraId="20F73813" w14:textId="77777777" w:rsidR="00761CCC" w:rsidRPr="0000076E" w:rsidRDefault="00761CCC" w:rsidP="00761CCC">
            <w:pPr>
              <w:rPr>
                <w:rFonts w:eastAsia="DengXian"/>
                <w:sz w:val="20"/>
                <w:szCs w:val="20"/>
                <w:lang w:eastAsia="zh-CN"/>
              </w:rPr>
            </w:pPr>
            <w:r w:rsidRPr="0000076E">
              <w:rPr>
                <w:rFonts w:eastAsia="DengXian"/>
                <w:sz w:val="20"/>
                <w:szCs w:val="20"/>
                <w:lang w:eastAsia="zh-CN"/>
              </w:rPr>
              <w:t xml:space="preserve">Companies are encouraged to consider </w:t>
            </w:r>
            <w:r w:rsidRPr="0000076E">
              <w:rPr>
                <w:rFonts w:eastAsia="DengXian" w:hint="eastAsia"/>
                <w:sz w:val="20"/>
                <w:szCs w:val="20"/>
                <w:lang w:eastAsia="zh-CN"/>
              </w:rPr>
              <w:t xml:space="preserve">Table 3.4.2 in </w:t>
            </w:r>
            <w:r w:rsidRPr="0000076E">
              <w:rPr>
                <w:rFonts w:eastAsia="DengXian"/>
                <w:sz w:val="20"/>
                <w:szCs w:val="20"/>
                <w:lang w:eastAsia="zh-CN"/>
              </w:rPr>
              <w:t>R1-2401735</w:t>
            </w:r>
            <w:r w:rsidRPr="0000076E">
              <w:rPr>
                <w:rFonts w:eastAsia="DengXian" w:hint="eastAsia"/>
                <w:sz w:val="20"/>
                <w:szCs w:val="20"/>
                <w:lang w:eastAsia="zh-CN"/>
              </w:rPr>
              <w:t xml:space="preserve"> </w:t>
            </w:r>
            <w:r w:rsidRPr="0000076E">
              <w:rPr>
                <w:rFonts w:eastAsia="DengXian"/>
                <w:sz w:val="20"/>
                <w:szCs w:val="20"/>
                <w:lang w:eastAsia="zh-CN"/>
              </w:rPr>
              <w:t>for their contributions to RAN1#116bis regarding</w:t>
            </w:r>
            <w:r w:rsidRPr="0000076E">
              <w:rPr>
                <w:rFonts w:eastAsia="DengXian" w:hint="eastAsia"/>
                <w:sz w:val="20"/>
                <w:szCs w:val="20"/>
                <w:lang w:eastAsia="zh-CN"/>
              </w:rPr>
              <w:t xml:space="preserve"> link budget template</w:t>
            </w:r>
            <w:r w:rsidRPr="0000076E">
              <w:rPr>
                <w:rFonts w:eastAsia="DengXian"/>
                <w:sz w:val="20"/>
                <w:szCs w:val="20"/>
                <w:lang w:eastAsia="zh-CN"/>
              </w:rPr>
              <w:t>.</w:t>
            </w:r>
          </w:p>
          <w:p w14:paraId="499F10CF" w14:textId="77777777" w:rsidR="009D2794" w:rsidRDefault="009D2794" w:rsidP="00CA74A2">
            <w:pPr>
              <w:spacing w:afterLines="50" w:after="156"/>
              <w:jc w:val="both"/>
              <w:rPr>
                <w:sz w:val="22"/>
                <w:szCs w:val="22"/>
                <w:lang w:eastAsia="ja-JP"/>
              </w:rPr>
            </w:pPr>
          </w:p>
        </w:tc>
      </w:tr>
    </w:tbl>
    <w:p w14:paraId="126B523E" w14:textId="77777777" w:rsidR="009D2794" w:rsidRDefault="009D2794" w:rsidP="00CA74A2">
      <w:pPr>
        <w:spacing w:afterLines="50" w:after="156"/>
        <w:jc w:val="both"/>
        <w:rPr>
          <w:sz w:val="22"/>
          <w:szCs w:val="22"/>
          <w:lang w:eastAsia="ja-JP"/>
        </w:rPr>
      </w:pPr>
    </w:p>
    <w:p w14:paraId="63BD11F9" w14:textId="27AC658E" w:rsidR="00C213AE" w:rsidRDefault="00C213AE" w:rsidP="00CA74A2">
      <w:pPr>
        <w:spacing w:afterLines="50" w:after="156"/>
        <w:jc w:val="both"/>
        <w:rPr>
          <w:sz w:val="22"/>
          <w:szCs w:val="22"/>
          <w:lang w:eastAsia="ja-JP"/>
        </w:rPr>
      </w:pPr>
      <w:r>
        <w:rPr>
          <w:sz w:val="22"/>
          <w:szCs w:val="22"/>
          <w:lang w:eastAsia="ja-JP"/>
        </w:rPr>
        <w:t xml:space="preserve">This document considers </w:t>
      </w:r>
      <w:r w:rsidR="00FA46C2">
        <w:rPr>
          <w:sz w:val="22"/>
          <w:szCs w:val="22"/>
          <w:lang w:eastAsia="ja-JP"/>
        </w:rPr>
        <w:t>evaluation assumptions for Ambient IoT and provides some link budget evaluations.</w:t>
      </w:r>
    </w:p>
    <w:p w14:paraId="3A25037D" w14:textId="36388A14" w:rsidR="00750CB3" w:rsidRPr="00252377" w:rsidRDefault="00252377" w:rsidP="0025237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252377">
        <w:rPr>
          <w:sz w:val="32"/>
          <w:szCs w:val="32"/>
        </w:rPr>
        <w:t xml:space="preserve">Assumptions and </w:t>
      </w:r>
      <w:r w:rsidR="00544916" w:rsidRPr="00252377">
        <w:rPr>
          <w:sz w:val="32"/>
          <w:szCs w:val="32"/>
        </w:rPr>
        <w:t>Link Budget Analysis</w:t>
      </w:r>
    </w:p>
    <w:p w14:paraId="67C0A56E" w14:textId="77777777" w:rsidR="00EA25B2" w:rsidRPr="00471FD5" w:rsidRDefault="00EA25B2" w:rsidP="00C20ADC">
      <w:pPr>
        <w:pStyle w:val="Heading1"/>
        <w:numPr>
          <w:ilvl w:val="0"/>
          <w:numId w:val="23"/>
        </w:numPr>
        <w:ind w:left="357" w:hanging="357"/>
        <w:rPr>
          <w:b/>
          <w:bCs w:val="0"/>
          <w:color w:val="000000" w:themeColor="text1"/>
        </w:rPr>
      </w:pPr>
      <w:r w:rsidRPr="00471FD5">
        <w:rPr>
          <w:b/>
          <w:bCs w:val="0"/>
          <w:color w:val="000000" w:themeColor="text1"/>
        </w:rPr>
        <w:t>Scope of link budget evaluation</w:t>
      </w:r>
    </w:p>
    <w:p w14:paraId="64975D34" w14:textId="36B15FD2" w:rsidR="00EA25B2" w:rsidRPr="00BB360E" w:rsidRDefault="00EA25B2" w:rsidP="00EA25B2">
      <w:pPr>
        <w:jc w:val="both"/>
      </w:pPr>
      <w:r w:rsidRPr="00BB360E">
        <w:t xml:space="preserve">Link budget analysis in this document follows the </w:t>
      </w:r>
      <w:r w:rsidRPr="00BB360E">
        <w:rPr>
          <w:b/>
          <w:bCs/>
        </w:rPr>
        <w:t>Budget</w:t>
      </w:r>
      <w:r w:rsidRPr="00BB360E">
        <w:t>-</w:t>
      </w:r>
      <w:r w:rsidRPr="00BB360E">
        <w:rPr>
          <w:b/>
          <w:bCs/>
        </w:rPr>
        <w:t>Alt-1</w:t>
      </w:r>
      <w:r w:rsidRPr="00BB360E">
        <w:t xml:space="preserve"> approach</w:t>
      </w:r>
      <w:r w:rsidR="008578DA">
        <w:t xml:space="preserve"> </w:t>
      </w:r>
      <w:r w:rsidRPr="00BB360E">
        <w:t xml:space="preserve">where D1T1 schemes with A1, A2, B and C scenarios are considered. </w:t>
      </w:r>
      <w:r w:rsidR="00F8718F">
        <w:t>The d</w:t>
      </w:r>
      <w:r w:rsidRPr="00BB360E">
        <w:t xml:space="preserve">ifference between different sub-categories is summarised in the following table. </w:t>
      </w:r>
    </w:p>
    <w:p w14:paraId="4F1BC5B2" w14:textId="77777777" w:rsidR="005B0195" w:rsidRPr="00BB360E" w:rsidRDefault="005B0195" w:rsidP="00EA25B2">
      <w:pPr>
        <w:jc w:val="both"/>
      </w:pPr>
    </w:p>
    <w:tbl>
      <w:tblPr>
        <w:tblStyle w:val="TableGrid"/>
        <w:tblW w:w="0" w:type="auto"/>
        <w:jc w:val="center"/>
        <w:tblLook w:val="04A0" w:firstRow="1" w:lastRow="0" w:firstColumn="1" w:lastColumn="0" w:noHBand="0" w:noVBand="1"/>
      </w:tblPr>
      <w:tblGrid>
        <w:gridCol w:w="3005"/>
        <w:gridCol w:w="3005"/>
        <w:gridCol w:w="3006"/>
      </w:tblGrid>
      <w:tr w:rsidR="00EA25B2" w:rsidRPr="00BB360E" w14:paraId="534D2264" w14:textId="77777777" w:rsidTr="00222DB3">
        <w:trPr>
          <w:jc w:val="center"/>
        </w:trPr>
        <w:tc>
          <w:tcPr>
            <w:tcW w:w="3005" w:type="dxa"/>
            <w:tcBorders>
              <w:top w:val="single" w:sz="8" w:space="0" w:color="auto"/>
              <w:left w:val="single" w:sz="8" w:space="0" w:color="auto"/>
              <w:bottom w:val="single" w:sz="8" w:space="0" w:color="auto"/>
              <w:right w:val="single" w:sz="8" w:space="0" w:color="auto"/>
            </w:tcBorders>
          </w:tcPr>
          <w:p w14:paraId="1DDF717A" w14:textId="77777777" w:rsidR="00EA25B2" w:rsidRPr="00BB360E" w:rsidRDefault="00EA25B2">
            <w:pPr>
              <w:jc w:val="both"/>
              <w:rPr>
                <w:b/>
                <w:bCs/>
              </w:rPr>
            </w:pPr>
            <w:r w:rsidRPr="00BB360E">
              <w:rPr>
                <w:b/>
                <w:bCs/>
              </w:rPr>
              <w:t>Scenarios</w:t>
            </w:r>
          </w:p>
        </w:tc>
        <w:tc>
          <w:tcPr>
            <w:tcW w:w="3005" w:type="dxa"/>
            <w:tcBorders>
              <w:top w:val="single" w:sz="8" w:space="0" w:color="auto"/>
              <w:left w:val="single" w:sz="8" w:space="0" w:color="auto"/>
              <w:bottom w:val="single" w:sz="8" w:space="0" w:color="auto"/>
              <w:right w:val="single" w:sz="8" w:space="0" w:color="auto"/>
            </w:tcBorders>
          </w:tcPr>
          <w:p w14:paraId="20112A24" w14:textId="77777777" w:rsidR="00EA25B2" w:rsidRPr="00BB360E" w:rsidRDefault="00EA25B2">
            <w:pPr>
              <w:jc w:val="both"/>
              <w:rPr>
                <w:b/>
                <w:bCs/>
              </w:rPr>
            </w:pPr>
            <w:r w:rsidRPr="00BB360E">
              <w:rPr>
                <w:b/>
                <w:bCs/>
              </w:rPr>
              <w:t>Carrier Wave Emitter (CWE)</w:t>
            </w:r>
          </w:p>
        </w:tc>
        <w:tc>
          <w:tcPr>
            <w:tcW w:w="3006" w:type="dxa"/>
            <w:tcBorders>
              <w:top w:val="single" w:sz="8" w:space="0" w:color="auto"/>
              <w:left w:val="single" w:sz="8" w:space="0" w:color="auto"/>
              <w:bottom w:val="single" w:sz="8" w:space="0" w:color="auto"/>
              <w:right w:val="single" w:sz="8" w:space="0" w:color="auto"/>
            </w:tcBorders>
          </w:tcPr>
          <w:p w14:paraId="4D8A723B" w14:textId="77777777" w:rsidR="00EA25B2" w:rsidRPr="00BB360E" w:rsidRDefault="00EA25B2">
            <w:pPr>
              <w:jc w:val="both"/>
              <w:rPr>
                <w:b/>
                <w:bCs/>
              </w:rPr>
            </w:pPr>
            <w:r w:rsidRPr="00BB360E">
              <w:rPr>
                <w:b/>
                <w:bCs/>
              </w:rPr>
              <w:t>Backscattering Type</w:t>
            </w:r>
          </w:p>
        </w:tc>
      </w:tr>
      <w:tr w:rsidR="00EA25B2" w:rsidRPr="00BB360E" w14:paraId="39B0A8E7" w14:textId="77777777" w:rsidTr="00222DB3">
        <w:trPr>
          <w:jc w:val="center"/>
        </w:trPr>
        <w:tc>
          <w:tcPr>
            <w:tcW w:w="3005" w:type="dxa"/>
            <w:tcBorders>
              <w:top w:val="single" w:sz="8" w:space="0" w:color="auto"/>
            </w:tcBorders>
          </w:tcPr>
          <w:p w14:paraId="512D31D1" w14:textId="77777777" w:rsidR="00EA25B2" w:rsidRPr="00BB360E" w:rsidRDefault="00EA25B2">
            <w:pPr>
              <w:jc w:val="both"/>
            </w:pPr>
            <w:r w:rsidRPr="00BB360E">
              <w:t>D1T1-A1</w:t>
            </w:r>
          </w:p>
        </w:tc>
        <w:tc>
          <w:tcPr>
            <w:tcW w:w="3005" w:type="dxa"/>
            <w:tcBorders>
              <w:top w:val="single" w:sz="8" w:space="0" w:color="auto"/>
            </w:tcBorders>
          </w:tcPr>
          <w:p w14:paraId="4DDCF072" w14:textId="77777777" w:rsidR="00EA25B2" w:rsidRPr="00BB360E" w:rsidRDefault="00EA25B2">
            <w:pPr>
              <w:jc w:val="both"/>
            </w:pPr>
            <w:r w:rsidRPr="00BB360E">
              <w:t>Y (inside the topology)</w:t>
            </w:r>
          </w:p>
        </w:tc>
        <w:tc>
          <w:tcPr>
            <w:tcW w:w="3006" w:type="dxa"/>
            <w:tcBorders>
              <w:top w:val="single" w:sz="8" w:space="0" w:color="auto"/>
            </w:tcBorders>
          </w:tcPr>
          <w:p w14:paraId="3001373B" w14:textId="77777777" w:rsidR="00EA25B2" w:rsidRPr="00BB360E" w:rsidRDefault="00EA25B2">
            <w:pPr>
              <w:jc w:val="both"/>
            </w:pPr>
            <w:r w:rsidRPr="00BB360E">
              <w:t>Bistatic</w:t>
            </w:r>
          </w:p>
        </w:tc>
      </w:tr>
      <w:tr w:rsidR="00EA25B2" w:rsidRPr="00BB360E" w14:paraId="605B423D" w14:textId="77777777" w:rsidTr="00222DB3">
        <w:trPr>
          <w:jc w:val="center"/>
        </w:trPr>
        <w:tc>
          <w:tcPr>
            <w:tcW w:w="3005" w:type="dxa"/>
          </w:tcPr>
          <w:p w14:paraId="494C70EC" w14:textId="77777777" w:rsidR="00EA25B2" w:rsidRPr="00BB360E" w:rsidRDefault="00EA25B2">
            <w:pPr>
              <w:jc w:val="both"/>
            </w:pPr>
            <w:r w:rsidRPr="00BB360E">
              <w:t>D1T1-A2</w:t>
            </w:r>
          </w:p>
        </w:tc>
        <w:tc>
          <w:tcPr>
            <w:tcW w:w="3005" w:type="dxa"/>
          </w:tcPr>
          <w:p w14:paraId="1494E0C2" w14:textId="77777777" w:rsidR="00EA25B2" w:rsidRPr="00BB360E" w:rsidRDefault="00EA25B2">
            <w:pPr>
              <w:jc w:val="both"/>
            </w:pPr>
            <w:r w:rsidRPr="00BB360E">
              <w:t>N</w:t>
            </w:r>
          </w:p>
        </w:tc>
        <w:tc>
          <w:tcPr>
            <w:tcW w:w="3006" w:type="dxa"/>
          </w:tcPr>
          <w:p w14:paraId="2E7F2FD8" w14:textId="77777777" w:rsidR="00EA25B2" w:rsidRPr="00BB360E" w:rsidRDefault="00EA25B2">
            <w:pPr>
              <w:jc w:val="both"/>
            </w:pPr>
            <w:r w:rsidRPr="00BB360E">
              <w:t>Monostatic</w:t>
            </w:r>
          </w:p>
        </w:tc>
      </w:tr>
      <w:tr w:rsidR="00EA25B2" w:rsidRPr="00BB360E" w14:paraId="5D83C79E" w14:textId="77777777" w:rsidTr="00222DB3">
        <w:trPr>
          <w:jc w:val="center"/>
        </w:trPr>
        <w:tc>
          <w:tcPr>
            <w:tcW w:w="3005" w:type="dxa"/>
          </w:tcPr>
          <w:p w14:paraId="28091705" w14:textId="77777777" w:rsidR="00EA25B2" w:rsidRPr="00BB360E" w:rsidRDefault="00EA25B2">
            <w:pPr>
              <w:jc w:val="both"/>
            </w:pPr>
            <w:r w:rsidRPr="00BB360E">
              <w:t>D1T1-B</w:t>
            </w:r>
          </w:p>
        </w:tc>
        <w:tc>
          <w:tcPr>
            <w:tcW w:w="3005" w:type="dxa"/>
          </w:tcPr>
          <w:p w14:paraId="7FC4F421" w14:textId="77777777" w:rsidR="00EA25B2" w:rsidRPr="00BB360E" w:rsidRDefault="00EA25B2">
            <w:pPr>
              <w:jc w:val="both"/>
            </w:pPr>
            <w:r w:rsidRPr="00BB360E">
              <w:t>Y (outside the topology)</w:t>
            </w:r>
          </w:p>
        </w:tc>
        <w:tc>
          <w:tcPr>
            <w:tcW w:w="3006" w:type="dxa"/>
          </w:tcPr>
          <w:p w14:paraId="41D6839C" w14:textId="77777777" w:rsidR="00EA25B2" w:rsidRPr="00BB360E" w:rsidRDefault="00EA25B2">
            <w:pPr>
              <w:jc w:val="both"/>
            </w:pPr>
            <w:r w:rsidRPr="00BB360E">
              <w:t>Bistatic</w:t>
            </w:r>
          </w:p>
        </w:tc>
      </w:tr>
      <w:tr w:rsidR="00EA25B2" w:rsidRPr="00BB360E" w14:paraId="512F02F0" w14:textId="77777777" w:rsidTr="00222DB3">
        <w:trPr>
          <w:jc w:val="center"/>
        </w:trPr>
        <w:tc>
          <w:tcPr>
            <w:tcW w:w="3005" w:type="dxa"/>
          </w:tcPr>
          <w:p w14:paraId="238DF156" w14:textId="77777777" w:rsidR="00EA25B2" w:rsidRPr="00BB360E" w:rsidRDefault="00EA25B2">
            <w:pPr>
              <w:jc w:val="both"/>
            </w:pPr>
            <w:r w:rsidRPr="00BB360E">
              <w:t>D1T1-C (active device only)</w:t>
            </w:r>
          </w:p>
        </w:tc>
        <w:tc>
          <w:tcPr>
            <w:tcW w:w="3005" w:type="dxa"/>
          </w:tcPr>
          <w:p w14:paraId="17702A2A" w14:textId="77777777" w:rsidR="00EA25B2" w:rsidRPr="00BB360E" w:rsidRDefault="00EA25B2">
            <w:pPr>
              <w:jc w:val="both"/>
            </w:pPr>
            <w:r w:rsidRPr="00BB360E">
              <w:t>N/A</w:t>
            </w:r>
          </w:p>
        </w:tc>
        <w:tc>
          <w:tcPr>
            <w:tcW w:w="3006" w:type="dxa"/>
          </w:tcPr>
          <w:p w14:paraId="450E5065" w14:textId="77777777" w:rsidR="00EA25B2" w:rsidRPr="00BB360E" w:rsidRDefault="00EA25B2">
            <w:pPr>
              <w:jc w:val="both"/>
            </w:pPr>
            <w:r w:rsidRPr="00BB360E">
              <w:t>N/A</w:t>
            </w:r>
          </w:p>
        </w:tc>
      </w:tr>
    </w:tbl>
    <w:p w14:paraId="13909FA3" w14:textId="77777777" w:rsidR="00EA25B2" w:rsidRPr="00BB360E" w:rsidRDefault="00EA25B2" w:rsidP="00222DB3">
      <w:pPr>
        <w:spacing w:before="120"/>
        <w:jc w:val="center"/>
      </w:pPr>
      <w:r w:rsidRPr="00BB360E">
        <w:t>Table 1. Comparison between different system configurations for D1T1 scenario.</w:t>
      </w:r>
    </w:p>
    <w:p w14:paraId="2E48D9A7" w14:textId="77777777" w:rsidR="00EA25B2" w:rsidRPr="00BB360E" w:rsidRDefault="00EA25B2" w:rsidP="00EA25B2">
      <w:pPr>
        <w:jc w:val="center"/>
      </w:pPr>
      <w:r w:rsidRPr="00BB360E">
        <w:rPr>
          <w:noProof/>
        </w:rPr>
        <w:drawing>
          <wp:inline distT="0" distB="0" distL="0" distR="0" wp14:anchorId="54F9025F" wp14:editId="5FFFD25F">
            <wp:extent cx="4887818" cy="199390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16467" cy="2005587"/>
                    </a:xfrm>
                    <a:prstGeom prst="rect">
                      <a:avLst/>
                    </a:prstGeom>
                  </pic:spPr>
                </pic:pic>
              </a:graphicData>
            </a:graphic>
          </wp:inline>
        </w:drawing>
      </w:r>
    </w:p>
    <w:p w14:paraId="3BD2A04E" w14:textId="77777777" w:rsidR="00EA25B2" w:rsidRPr="00BB360E" w:rsidRDefault="00EA25B2" w:rsidP="00EA25B2">
      <w:pPr>
        <w:jc w:val="center"/>
      </w:pPr>
      <w:r w:rsidRPr="00BB360E">
        <w:t>Figure 1. Block diagram of scenarios applied to backscattering A-IoT devices.</w:t>
      </w:r>
    </w:p>
    <w:p w14:paraId="799F52E0" w14:textId="77777777" w:rsidR="008578DA" w:rsidRPr="00BB360E" w:rsidRDefault="008578DA" w:rsidP="00EA25B2">
      <w:pPr>
        <w:jc w:val="center"/>
      </w:pPr>
    </w:p>
    <w:p w14:paraId="1A5C9280" w14:textId="528E89DE" w:rsidR="00EA25B2" w:rsidRPr="00BB360E" w:rsidRDefault="00EA25B2" w:rsidP="00EA25B2">
      <w:pPr>
        <w:jc w:val="both"/>
      </w:pPr>
      <w:r w:rsidRPr="00BB360E">
        <w:t xml:space="preserve">Apart from the D1T1-C scenario which is related to the </w:t>
      </w:r>
      <w:r w:rsidR="001F4622">
        <w:t>2b</w:t>
      </w:r>
      <w:r w:rsidRPr="00BB360E">
        <w:t xml:space="preserve"> device (active), the difference between other scenarios highlighted in Table 1 primarily </w:t>
      </w:r>
      <w:r w:rsidR="001F4622">
        <w:t>relates</w:t>
      </w:r>
      <w:r w:rsidRPr="00BB360E">
        <w:t xml:space="preserve"> only </w:t>
      </w:r>
      <w:r w:rsidR="006E10D6">
        <w:t>to</w:t>
      </w:r>
      <w:r w:rsidRPr="00BB360E">
        <w:t xml:space="preserve"> backscattering transmissions, i.e., carrier-wave-to-device (CW2D) and device-to-reader (D2R) links. Downlink command/signalling transmission through the reader-to-device (R2D) link is unified for the backscattering-related transmissions. </w:t>
      </w:r>
    </w:p>
    <w:p w14:paraId="5241724C" w14:textId="77777777" w:rsidR="008578DA" w:rsidRPr="00BB360E" w:rsidRDefault="008578DA" w:rsidP="00EA25B2">
      <w:pPr>
        <w:jc w:val="both"/>
      </w:pPr>
    </w:p>
    <w:p w14:paraId="14C3D224" w14:textId="0D3EBC17" w:rsidR="008578DA" w:rsidRDefault="00BE42E1" w:rsidP="00222DB3">
      <w:pPr>
        <w:pStyle w:val="ListParagraph"/>
        <w:ind w:firstLineChars="0" w:firstLine="0"/>
        <w:jc w:val="both"/>
      </w:pPr>
      <w:r w:rsidRPr="00222DB3">
        <w:rPr>
          <w:b/>
          <w:bCs/>
          <w:color w:val="000000" w:themeColor="text1"/>
          <w:lang w:val="en-GB"/>
        </w:rPr>
        <w:t>Proposal 1</w:t>
      </w:r>
      <w:r>
        <w:rPr>
          <w:lang w:val="en-GB"/>
        </w:rPr>
        <w:t xml:space="preserve">: </w:t>
      </w:r>
      <w:r w:rsidR="00EA25B2" w:rsidRPr="004B36F7">
        <w:rPr>
          <w:b/>
          <w:bCs/>
        </w:rPr>
        <w:t>A unified approach is used for R2D link budget analysis for D1T1 scenarios, considering different activation thresholds for different device types</w:t>
      </w:r>
      <w:r w:rsidR="00EA25B2" w:rsidRPr="00BB360E">
        <w:t>.</w:t>
      </w:r>
    </w:p>
    <w:p w14:paraId="6C6CFAE2" w14:textId="32A4FD35" w:rsidR="00EA25B2" w:rsidRPr="00BB360E" w:rsidRDefault="00EA25B2" w:rsidP="00EA25B2">
      <w:pPr>
        <w:jc w:val="both"/>
      </w:pPr>
    </w:p>
    <w:p w14:paraId="2BE1ADC2" w14:textId="06CEB5A4" w:rsidR="00EA25B2" w:rsidRPr="00BB360E" w:rsidRDefault="00EA25B2" w:rsidP="00EA25B2">
      <w:pPr>
        <w:jc w:val="both"/>
      </w:pPr>
      <w:r w:rsidRPr="00BB360E">
        <w:t xml:space="preserve">The reader type in D1T1-A1 scenario is indoor base station (BS), which will be deployed in a static manner. This means that the ambient IoT (A-IoT) devices are supposed to </w:t>
      </w:r>
      <w:r w:rsidR="00E26749">
        <w:t xml:space="preserve">be </w:t>
      </w:r>
      <w:r w:rsidRPr="00BB360E">
        <w:t>connected to two BSs (R2D</w:t>
      </w:r>
      <w:r w:rsidR="0070151F">
        <w:t>/CW2D</w:t>
      </w:r>
      <w:r w:rsidRPr="00BB360E">
        <w:t xml:space="preserve"> and </w:t>
      </w:r>
      <w:r w:rsidR="007B62CF">
        <w:t>D2R</w:t>
      </w:r>
      <w:r w:rsidRPr="00BB360E">
        <w:t xml:space="preserve"> links) which are the nearest to </w:t>
      </w:r>
      <w:r w:rsidR="007B62CF">
        <w:t>the device</w:t>
      </w:r>
      <w:r w:rsidRPr="00BB360E">
        <w:t xml:space="preserve">. While in D1T1-B scenario, the CWE </w:t>
      </w:r>
      <w:r w:rsidRPr="00BB360E">
        <w:lastRenderedPageBreak/>
        <w:t xml:space="preserve">that is deployed outside the topology is allowed; this means that the CW transmission could become more flexible in D1T1-B, compared with </w:t>
      </w:r>
      <w:r w:rsidR="00576154">
        <w:t xml:space="preserve">the </w:t>
      </w:r>
      <w:r w:rsidRPr="00BB360E">
        <w:t xml:space="preserve">D1T1-A1 scenario, e.g., UEs being deployed as CWEs. It is worth noting that UEs may have more constrained transmission power, and this should be considered in the deployment. </w:t>
      </w:r>
    </w:p>
    <w:p w14:paraId="67E7DA60" w14:textId="77777777" w:rsidR="008578DA" w:rsidRPr="00BB360E" w:rsidRDefault="008578DA" w:rsidP="00EA25B2">
      <w:pPr>
        <w:jc w:val="both"/>
      </w:pPr>
    </w:p>
    <w:p w14:paraId="0BD3B67C" w14:textId="04B4FD9E" w:rsidR="00EA25B2" w:rsidRPr="00BB360E" w:rsidRDefault="00EA25B2" w:rsidP="00EA25B2">
      <w:pPr>
        <w:jc w:val="both"/>
      </w:pPr>
      <w:r w:rsidRPr="00BB360E">
        <w:rPr>
          <w:b/>
          <w:bCs/>
        </w:rPr>
        <w:t xml:space="preserve">Observation </w:t>
      </w:r>
      <w:r w:rsidR="00576154">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353ADD8C" w14:textId="77777777" w:rsidR="008578DA" w:rsidRPr="006C5076" w:rsidRDefault="008578DA" w:rsidP="00EA25B2">
      <w:pPr>
        <w:jc w:val="both"/>
      </w:pPr>
    </w:p>
    <w:p w14:paraId="540C5FB4" w14:textId="1623D1AE" w:rsidR="00EA25B2" w:rsidRPr="005D5763" w:rsidRDefault="00BE42E1" w:rsidP="00222DB3">
      <w:pPr>
        <w:jc w:val="both"/>
        <w:rPr>
          <w:color w:val="000000" w:themeColor="text1"/>
        </w:rPr>
      </w:pPr>
      <w:r w:rsidRPr="00222DB3">
        <w:rPr>
          <w:b/>
          <w:bCs/>
          <w:color w:val="000000" w:themeColor="text1"/>
        </w:rPr>
        <w:t>Proposal 2</w:t>
      </w:r>
      <w:r>
        <w:rPr>
          <w:color w:val="000000" w:themeColor="text1"/>
        </w:rPr>
        <w:t xml:space="preserve">: </w:t>
      </w:r>
      <w:r w:rsidR="00EA25B2" w:rsidRPr="005D5763">
        <w:rPr>
          <w:color w:val="000000" w:themeColor="text1"/>
        </w:rPr>
        <w:t xml:space="preserve"> </w:t>
      </w:r>
      <w:r w:rsidR="00EA25B2"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00EA25B2" w:rsidRPr="00170DA5">
        <w:rPr>
          <w:b/>
          <w:bCs/>
          <w:color w:val="000000" w:themeColor="text1"/>
        </w:rPr>
        <w:t xml:space="preserve"> m for big hall and </w:t>
      </w:r>
      <m:oMath>
        <m:r>
          <m:rPr>
            <m:sty m:val="bi"/>
          </m:rPr>
          <w:rPr>
            <w:rFonts w:ascii="Cambria Math" w:hAnsi="Cambria Math"/>
            <w:color w:val="000000" w:themeColor="text1"/>
          </w:rPr>
          <m:t>D = 8, 14</m:t>
        </m:r>
      </m:oMath>
      <w:r w:rsidR="00EA25B2" w:rsidRPr="00170DA5">
        <w:rPr>
          <w:b/>
          <w:bCs/>
          <w:color w:val="000000" w:themeColor="text1"/>
        </w:rPr>
        <w:t xml:space="preserve"> for small hall, etc. </w:t>
      </w:r>
      <m:oMath>
        <m:r>
          <m:rPr>
            <m:sty m:val="bi"/>
          </m:rPr>
          <w:rPr>
            <w:rFonts w:ascii="Cambria Math" w:hAnsi="Cambria Math"/>
            <w:color w:val="000000" w:themeColor="text1"/>
          </w:rPr>
          <m:t>D</m:t>
        </m:r>
      </m:oMath>
      <w:r w:rsidR="00EA25B2"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00EA25B2" w:rsidRPr="00170DA5">
        <w:rPr>
          <w:b/>
          <w:bCs/>
          <w:color w:val="000000" w:themeColor="text1"/>
        </w:rPr>
        <w:t xml:space="preserve"> and thus the device should ideally communicate with both.</w:t>
      </w:r>
      <w:r w:rsidR="00EA25B2" w:rsidRPr="005D5763">
        <w:rPr>
          <w:color w:val="000000" w:themeColor="text1"/>
        </w:rPr>
        <w:t xml:space="preserve"> </w:t>
      </w:r>
    </w:p>
    <w:p w14:paraId="3CB84A64" w14:textId="77777777" w:rsidR="00533AC1" w:rsidRDefault="00533AC1" w:rsidP="00E5455C">
      <w:pPr>
        <w:pStyle w:val="ListParagraph"/>
        <w:ind w:firstLineChars="0" w:firstLine="0"/>
        <w:jc w:val="both"/>
        <w:rPr>
          <w:b/>
          <w:bCs/>
          <w:color w:val="000000" w:themeColor="text1"/>
        </w:rPr>
      </w:pPr>
    </w:p>
    <w:p w14:paraId="64345608" w14:textId="2EF65F71" w:rsidR="00EA25B2" w:rsidRPr="006C5076" w:rsidRDefault="00EA25B2" w:rsidP="006C5076">
      <w:pPr>
        <w:pStyle w:val="ListParagraph"/>
        <w:ind w:firstLineChars="0" w:firstLine="0"/>
        <w:jc w:val="both"/>
        <w:rPr>
          <w:color w:val="000000" w:themeColor="text1"/>
        </w:rPr>
      </w:pPr>
      <w:r w:rsidRPr="006C5076">
        <w:rPr>
          <w:color w:val="000000" w:themeColor="text1"/>
        </w:rPr>
        <w:t xml:space="preserve">As mentioned above, we conduct link budget investigation primarily for the D1T1 scenario by considering 1) the R2D link as a unified link for different sub-scenarios and 2) joint CW2D and D2R links. </w:t>
      </w:r>
    </w:p>
    <w:p w14:paraId="46D569EA" w14:textId="77777777" w:rsidR="00EA25B2" w:rsidRPr="00471FD5" w:rsidRDefault="00EA25B2" w:rsidP="00C20ADC">
      <w:pPr>
        <w:pStyle w:val="Heading1"/>
        <w:numPr>
          <w:ilvl w:val="0"/>
          <w:numId w:val="23"/>
        </w:numPr>
        <w:ind w:left="357" w:hanging="357"/>
        <w:rPr>
          <w:b/>
          <w:bCs w:val="0"/>
          <w:color w:val="000000" w:themeColor="text1"/>
        </w:rPr>
      </w:pPr>
      <w:r w:rsidRPr="00471FD5">
        <w:rPr>
          <w:b/>
          <w:bCs w:val="0"/>
          <w:color w:val="000000" w:themeColor="text1"/>
        </w:rPr>
        <w:t>Link Budget Analysis - R2D link</w:t>
      </w:r>
    </w:p>
    <w:p w14:paraId="044D1D43" w14:textId="5C32C3C2" w:rsidR="00EA25B2" w:rsidRDefault="00EA25B2" w:rsidP="00EA25B2">
      <w:pPr>
        <w:jc w:val="both"/>
      </w:pPr>
      <w:r w:rsidRPr="00BB360E">
        <w:t>The rationale of considering the R2D link as a unified link for different sub-scenarios is that in D1T1 scenario, the command/signal link shall always be initiated by the BS and received by the device(s). Depending on the type of the A-IoT devices, either type</w:t>
      </w:r>
      <w:r w:rsidR="00701F98">
        <w:t xml:space="preserve"> 1</w:t>
      </w:r>
      <w:r w:rsidRPr="00BB360E">
        <w:t xml:space="preserve"> or type</w:t>
      </w:r>
      <w:r w:rsidR="00701F98">
        <w:t xml:space="preserve"> 2</w:t>
      </w:r>
      <w:r w:rsidRPr="00BB360E">
        <w:t xml:space="preserve">, the device excitation threshold could be different. </w:t>
      </w:r>
    </w:p>
    <w:p w14:paraId="02A2D1E8" w14:textId="77777777" w:rsidR="00C54E64" w:rsidRPr="00BB360E" w:rsidRDefault="00C54E64" w:rsidP="00EA25B2">
      <w:pPr>
        <w:jc w:val="both"/>
      </w:pPr>
    </w:p>
    <w:p w14:paraId="1D68525B" w14:textId="77777777" w:rsidR="00EA25B2" w:rsidRPr="00BB360E" w:rsidRDefault="00EA25B2" w:rsidP="00EA25B2">
      <w:pPr>
        <w:jc w:val="both"/>
      </w:pPr>
      <w:r w:rsidRPr="00BB360E">
        <w:t>Detailed configurations for unified R2D link are summarised in Table 2.</w:t>
      </w:r>
    </w:p>
    <w:p w14:paraId="19EBCE32" w14:textId="77777777" w:rsidR="005B0195" w:rsidRPr="00BB360E" w:rsidRDefault="005B0195" w:rsidP="00EA25B2">
      <w:pPr>
        <w:jc w:val="both"/>
      </w:pPr>
    </w:p>
    <w:tbl>
      <w:tblPr>
        <w:tblStyle w:val="TableGrid"/>
        <w:tblW w:w="0" w:type="auto"/>
        <w:jc w:val="center"/>
        <w:tblLook w:val="04A0" w:firstRow="1" w:lastRow="0" w:firstColumn="1" w:lastColumn="0" w:noHBand="0" w:noVBand="1"/>
      </w:tblPr>
      <w:tblGrid>
        <w:gridCol w:w="3951"/>
        <w:gridCol w:w="3274"/>
      </w:tblGrid>
      <w:tr w:rsidR="00EA25B2" w:rsidRPr="00BB360E" w14:paraId="06B524E9" w14:textId="77777777">
        <w:trPr>
          <w:jc w:val="center"/>
        </w:trPr>
        <w:tc>
          <w:tcPr>
            <w:tcW w:w="3951" w:type="dxa"/>
          </w:tcPr>
          <w:p w14:paraId="462C3DAE" w14:textId="77777777" w:rsidR="00EA25B2" w:rsidRPr="00BB360E" w:rsidRDefault="00EA25B2">
            <w:r w:rsidRPr="00BB360E">
              <w:t>Frequency band</w:t>
            </w:r>
          </w:p>
        </w:tc>
        <w:tc>
          <w:tcPr>
            <w:tcW w:w="3274" w:type="dxa"/>
          </w:tcPr>
          <w:p w14:paraId="2A472723" w14:textId="77777777" w:rsidR="00EA25B2" w:rsidRPr="00BB360E" w:rsidRDefault="00542DDA">
            <m:oMath>
              <m:r>
                <w:rPr>
                  <w:rFonts w:ascii="Cambria Math" w:hAnsi="Cambria Math"/>
                </w:rPr>
                <m:t>900</m:t>
              </m:r>
            </m:oMath>
            <w:r w:rsidR="00EA25B2" w:rsidRPr="00BB360E">
              <w:t xml:space="preserve"> MHz</w:t>
            </w:r>
          </w:p>
        </w:tc>
      </w:tr>
      <w:tr w:rsidR="00EA25B2" w:rsidRPr="00BB360E" w14:paraId="259C5A72" w14:textId="77777777">
        <w:trPr>
          <w:jc w:val="center"/>
        </w:trPr>
        <w:tc>
          <w:tcPr>
            <w:tcW w:w="3951" w:type="dxa"/>
          </w:tcPr>
          <w:p w14:paraId="6E55C526" w14:textId="77777777" w:rsidR="00EA25B2" w:rsidRPr="00BB360E" w:rsidRDefault="00EA25B2">
            <w:r w:rsidRPr="00BB360E">
              <w:t xml:space="preserve">R2D Tx. Power (BS), </w:t>
            </w:r>
            <m:oMath>
              <m:sSub>
                <m:sSubPr>
                  <m:ctrlPr>
                    <w:rPr>
                      <w:rFonts w:ascii="Cambria Math" w:hAnsi="Cambria Math"/>
                      <w:i/>
                    </w:rPr>
                  </m:ctrlPr>
                </m:sSubPr>
                <m:e>
                  <m:r>
                    <w:rPr>
                      <w:rFonts w:ascii="Cambria Math" w:hAnsi="Cambria Math"/>
                    </w:rPr>
                    <m:t>P</m:t>
                  </m:r>
                </m:e>
                <m:sub>
                  <m:r>
                    <m:rPr>
                      <m:sty m:val="p"/>
                    </m:rPr>
                    <w:rPr>
                      <w:rFonts w:ascii="Cambria Math" w:hAnsi="Cambria Math"/>
                    </w:rPr>
                    <m:t>Tx, BS</m:t>
                  </m:r>
                </m:sub>
              </m:sSub>
            </m:oMath>
          </w:p>
        </w:tc>
        <w:tc>
          <w:tcPr>
            <w:tcW w:w="3274" w:type="dxa"/>
          </w:tcPr>
          <w:p w14:paraId="6B794015" w14:textId="77777777" w:rsidR="00EA25B2" w:rsidRPr="00BB360E" w:rsidRDefault="00542DDA">
            <m:oMath>
              <m:r>
                <w:rPr>
                  <w:rFonts w:ascii="Cambria Math" w:hAnsi="Cambria Math"/>
                </w:rPr>
                <m:t>33</m:t>
              </m:r>
            </m:oMath>
            <w:r w:rsidR="00EA25B2" w:rsidRPr="00BB360E">
              <w:t xml:space="preserve"> dBm</w:t>
            </w:r>
          </w:p>
        </w:tc>
      </w:tr>
      <w:tr w:rsidR="00EA25B2" w:rsidRPr="00BB360E" w14:paraId="254F6BFB" w14:textId="77777777">
        <w:trPr>
          <w:jc w:val="center"/>
        </w:trPr>
        <w:tc>
          <w:tcPr>
            <w:tcW w:w="3951" w:type="dxa"/>
          </w:tcPr>
          <w:p w14:paraId="7A4681C8" w14:textId="77777777" w:rsidR="00EA25B2" w:rsidRPr="00BB360E" w:rsidRDefault="00EA25B2">
            <w:r w:rsidRPr="00BB360E">
              <w:t xml:space="preserve">Tx. antenna gain (BS), </w:t>
            </w:r>
            <m:oMath>
              <m:sSub>
                <m:sSubPr>
                  <m:ctrlPr>
                    <w:rPr>
                      <w:rFonts w:ascii="Cambria Math" w:hAnsi="Cambria Math"/>
                      <w:i/>
                    </w:rPr>
                  </m:ctrlPr>
                </m:sSubPr>
                <m:e>
                  <m:r>
                    <w:rPr>
                      <w:rFonts w:ascii="Cambria Math" w:hAnsi="Cambria Math"/>
                    </w:rPr>
                    <m:t>G</m:t>
                  </m:r>
                </m:e>
                <m:sub>
                  <m:r>
                    <m:rPr>
                      <m:sty m:val="p"/>
                    </m:rPr>
                    <w:rPr>
                      <w:rFonts w:ascii="Cambria Math" w:hAnsi="Cambria Math"/>
                    </w:rPr>
                    <m:t>BS</m:t>
                  </m:r>
                </m:sub>
              </m:sSub>
            </m:oMath>
          </w:p>
        </w:tc>
        <w:tc>
          <w:tcPr>
            <w:tcW w:w="3274" w:type="dxa"/>
          </w:tcPr>
          <w:p w14:paraId="7DEDC299" w14:textId="77777777" w:rsidR="00EA25B2" w:rsidRPr="00BB360E" w:rsidRDefault="00542DDA">
            <m:oMath>
              <m:r>
                <w:rPr>
                  <w:rFonts w:ascii="Cambria Math" w:hAnsi="Cambria Math"/>
                </w:rPr>
                <m:t>6</m:t>
              </m:r>
            </m:oMath>
            <w:r w:rsidR="00EA25B2" w:rsidRPr="00BB360E">
              <w:t xml:space="preserve"> dBi</w:t>
            </w:r>
          </w:p>
        </w:tc>
      </w:tr>
      <w:tr w:rsidR="00EA25B2" w:rsidRPr="00BB360E" w14:paraId="37723FEC" w14:textId="77777777">
        <w:trPr>
          <w:jc w:val="center"/>
        </w:trPr>
        <w:tc>
          <w:tcPr>
            <w:tcW w:w="3951" w:type="dxa"/>
          </w:tcPr>
          <w:p w14:paraId="72EE5485" w14:textId="77777777" w:rsidR="00EA25B2" w:rsidRPr="00BB360E" w:rsidRDefault="00EA25B2">
            <w:r w:rsidRPr="00BB360E">
              <w:t xml:space="preserve">Rx. antenna gain (A-IoT devices), </w:t>
            </w:r>
            <m:oMath>
              <m:sSub>
                <m:sSubPr>
                  <m:ctrlPr>
                    <w:rPr>
                      <w:rFonts w:ascii="Cambria Math" w:hAnsi="Cambria Math"/>
                      <w:i/>
                    </w:rPr>
                  </m:ctrlPr>
                </m:sSubPr>
                <m:e>
                  <m:r>
                    <w:rPr>
                      <w:rFonts w:ascii="Cambria Math" w:hAnsi="Cambria Math"/>
                    </w:rPr>
                    <m:t>G</m:t>
                  </m:r>
                </m:e>
                <m:sub>
                  <m:r>
                    <m:rPr>
                      <m:sty m:val="p"/>
                    </m:rPr>
                    <w:rPr>
                      <w:rFonts w:ascii="Cambria Math" w:hAnsi="Cambria Math"/>
                    </w:rPr>
                    <m:t>Dev</m:t>
                  </m:r>
                </m:sub>
              </m:sSub>
            </m:oMath>
          </w:p>
        </w:tc>
        <w:tc>
          <w:tcPr>
            <w:tcW w:w="3274" w:type="dxa"/>
          </w:tcPr>
          <w:p w14:paraId="3C2D7870" w14:textId="77777777" w:rsidR="00EA25B2" w:rsidRPr="00BB360E" w:rsidRDefault="00542DDA">
            <m:oMath>
              <m:r>
                <w:rPr>
                  <w:rFonts w:ascii="Cambria Math" w:hAnsi="Cambria Math"/>
                </w:rPr>
                <m:t>2</m:t>
              </m:r>
            </m:oMath>
            <w:r w:rsidR="00EA25B2" w:rsidRPr="00BB360E">
              <w:t xml:space="preserve"> dBi</w:t>
            </w:r>
          </w:p>
        </w:tc>
      </w:tr>
      <w:tr w:rsidR="00EA25B2" w:rsidRPr="00BB360E" w14:paraId="27DD66D6" w14:textId="77777777">
        <w:trPr>
          <w:jc w:val="center"/>
        </w:trPr>
        <w:tc>
          <w:tcPr>
            <w:tcW w:w="3951" w:type="dxa"/>
          </w:tcPr>
          <w:p w14:paraId="350B1568" w14:textId="77777777" w:rsidR="00EA25B2" w:rsidRPr="00BB360E" w:rsidRDefault="00EA25B2">
            <w:r w:rsidRPr="00BB360E">
              <w:t xml:space="preserve">Path loss, </w:t>
            </w:r>
            <m:oMath>
              <m:sSub>
                <m:sSubPr>
                  <m:ctrlPr>
                    <w:rPr>
                      <w:rFonts w:ascii="Cambria Math" w:hAnsi="Cambria Math"/>
                      <w:i/>
                    </w:rPr>
                  </m:ctrlPr>
                </m:sSubPr>
                <m:e>
                  <m:r>
                    <w:rPr>
                      <w:rFonts w:ascii="Cambria Math" w:hAnsi="Cambria Math"/>
                    </w:rPr>
                    <m:t>L</m:t>
                  </m:r>
                </m:e>
                <m:sub>
                  <m:r>
                    <w:rPr>
                      <w:rFonts w:ascii="Cambria Math" w:hAnsi="Cambria Math"/>
                    </w:rPr>
                    <m:t>path</m:t>
                  </m:r>
                </m:sub>
              </m:sSub>
            </m:oMath>
          </w:p>
        </w:tc>
        <w:tc>
          <w:tcPr>
            <w:tcW w:w="3274" w:type="dxa"/>
          </w:tcPr>
          <w:p w14:paraId="0540F400" w14:textId="77777777" w:rsidR="00EA25B2" w:rsidRPr="00BB360E" w:rsidRDefault="00EA25B2">
            <w:pPr>
              <w:rPr>
                <w:rFonts w:eastAsia="DengXian"/>
              </w:rPr>
            </w:pPr>
            <w:r w:rsidRPr="00BB360E">
              <w:rPr>
                <w:rFonts w:eastAsia="DengXian"/>
              </w:rPr>
              <w:t>TBD, range-dependent</w:t>
            </w:r>
          </w:p>
        </w:tc>
      </w:tr>
      <w:tr w:rsidR="00EA25B2" w:rsidRPr="00BB360E" w14:paraId="7F817AB2" w14:textId="77777777">
        <w:trPr>
          <w:jc w:val="center"/>
        </w:trPr>
        <w:tc>
          <w:tcPr>
            <w:tcW w:w="3951" w:type="dxa"/>
          </w:tcPr>
          <w:p w14:paraId="73BEFA7A" w14:textId="77777777" w:rsidR="00EA25B2" w:rsidRPr="00BB360E" w:rsidRDefault="00EA25B2">
            <w:r w:rsidRPr="00BB360E">
              <w:t xml:space="preserve">Polarisation mismatch, </w:t>
            </w:r>
            <m:oMath>
              <m:sSub>
                <m:sSubPr>
                  <m:ctrlPr>
                    <w:rPr>
                      <w:rFonts w:ascii="Cambria Math" w:hAnsi="Cambria Math"/>
                      <w:i/>
                    </w:rPr>
                  </m:ctrlPr>
                </m:sSubPr>
                <m:e>
                  <m:r>
                    <w:rPr>
                      <w:rFonts w:ascii="Cambria Math" w:hAnsi="Cambria Math"/>
                    </w:rPr>
                    <m:t>L</m:t>
                  </m:r>
                </m:e>
                <m:sub>
                  <m:r>
                    <m:rPr>
                      <m:sty m:val="p"/>
                    </m:rPr>
                    <w:rPr>
                      <w:rFonts w:ascii="Cambria Math" w:hAnsi="Cambria Math"/>
                    </w:rPr>
                    <m:t>polar</m:t>
                  </m:r>
                </m:sub>
              </m:sSub>
            </m:oMath>
          </w:p>
        </w:tc>
        <w:tc>
          <w:tcPr>
            <w:tcW w:w="3274" w:type="dxa"/>
          </w:tcPr>
          <w:p w14:paraId="009C1941" w14:textId="77777777" w:rsidR="00EA25B2" w:rsidRPr="00BB360E" w:rsidRDefault="00542DDA">
            <m:oMath>
              <m:r>
                <w:rPr>
                  <w:rFonts w:ascii="Cambria Math" w:hAnsi="Cambria Math"/>
                </w:rPr>
                <m:t>3</m:t>
              </m:r>
            </m:oMath>
            <w:r w:rsidR="00EA25B2" w:rsidRPr="00BB360E">
              <w:t xml:space="preserve"> dB</w:t>
            </w:r>
          </w:p>
        </w:tc>
      </w:tr>
      <w:tr w:rsidR="00EA25B2" w:rsidRPr="00BB360E" w14:paraId="3341DB8D" w14:textId="77777777">
        <w:trPr>
          <w:jc w:val="center"/>
        </w:trPr>
        <w:tc>
          <w:tcPr>
            <w:tcW w:w="3951" w:type="dxa"/>
          </w:tcPr>
          <w:p w14:paraId="254D05B0" w14:textId="77777777" w:rsidR="00EA25B2" w:rsidRPr="00BB360E" w:rsidRDefault="00EA25B2">
            <w:pPr>
              <w:spacing w:before="240"/>
            </w:pPr>
            <w:r w:rsidRPr="00BB360E">
              <w:t xml:space="preserve">On-object antenna penalty </w:t>
            </w:r>
            <m:oMath>
              <m:sSub>
                <m:sSubPr>
                  <m:ctrlPr>
                    <w:rPr>
                      <w:rFonts w:ascii="Cambria Math" w:hAnsi="Cambria Math"/>
                      <w:i/>
                    </w:rPr>
                  </m:ctrlPr>
                </m:sSubPr>
                <m:e>
                  <m:r>
                    <w:rPr>
                      <w:rFonts w:ascii="Cambria Math" w:hAnsi="Cambria Math"/>
                    </w:rPr>
                    <m:t>L</m:t>
                  </m:r>
                </m:e>
                <m:sub>
                  <m:r>
                    <m:rPr>
                      <m:sty m:val="p"/>
                    </m:rPr>
                    <w:rPr>
                      <w:rFonts w:ascii="Cambria Math" w:hAnsi="Cambria Math"/>
                    </w:rPr>
                    <m:t>object</m:t>
                  </m:r>
                </m:sub>
              </m:sSub>
            </m:oMath>
          </w:p>
        </w:tc>
        <w:tc>
          <w:tcPr>
            <w:tcW w:w="3274" w:type="dxa"/>
          </w:tcPr>
          <w:p w14:paraId="16DFFC18" w14:textId="77777777" w:rsidR="00EA25B2" w:rsidRPr="00BB360E" w:rsidRDefault="00542DDA">
            <m:oMath>
              <m:r>
                <w:rPr>
                  <w:rFonts w:ascii="Cambria Math" w:hAnsi="Cambria Math"/>
                </w:rPr>
                <m:t>0.9</m:t>
              </m:r>
            </m:oMath>
            <w:r w:rsidR="00EA25B2" w:rsidRPr="00BB360E">
              <w:t xml:space="preserve"> dB – cardboard sheet</w:t>
            </w:r>
          </w:p>
          <w:p w14:paraId="29D6DF50" w14:textId="77777777" w:rsidR="00EA25B2" w:rsidRPr="00BB360E" w:rsidRDefault="00542DDA">
            <m:oMath>
              <m:r>
                <w:rPr>
                  <w:rFonts w:ascii="Cambria Math" w:hAnsi="Cambria Math"/>
                </w:rPr>
                <m:t>10.4</m:t>
              </m:r>
            </m:oMath>
            <w:r w:rsidR="00EA25B2" w:rsidRPr="00BB360E">
              <w:t xml:space="preserve"> dB – aluminium slab </w:t>
            </w:r>
            <w:r w:rsidR="00EA25B2" w:rsidRPr="00BB360E">
              <w:br/>
              <w:t>other values [</w:t>
            </w:r>
            <w:r w:rsidR="00EA25B2" w:rsidRPr="00BB360E">
              <w:rPr>
                <w:color w:val="4472C4" w:themeColor="accent1"/>
              </w:rPr>
              <w:t>1</w:t>
            </w:r>
            <w:r w:rsidR="00EA25B2" w:rsidRPr="00BB360E">
              <w:t>]</w:t>
            </w:r>
          </w:p>
        </w:tc>
      </w:tr>
      <w:tr w:rsidR="00EA25B2" w:rsidRPr="00BB360E" w14:paraId="7EA6D992" w14:textId="77777777">
        <w:trPr>
          <w:jc w:val="center"/>
        </w:trPr>
        <w:tc>
          <w:tcPr>
            <w:tcW w:w="3951" w:type="dxa"/>
          </w:tcPr>
          <w:p w14:paraId="009081C0" w14:textId="77777777" w:rsidR="00EA25B2" w:rsidRPr="00BB360E" w:rsidRDefault="00EA25B2">
            <w:pPr>
              <w:spacing w:before="120"/>
            </w:pPr>
            <w:r w:rsidRPr="00BB360E">
              <w:t xml:space="preserve">Excitation threshold, </w:t>
            </w:r>
            <m:oMath>
              <m:sSub>
                <m:sSubPr>
                  <m:ctrlPr>
                    <w:rPr>
                      <w:rFonts w:ascii="Cambria Math" w:hAnsi="Cambria Math"/>
                      <w:i/>
                    </w:rPr>
                  </m:ctrlPr>
                </m:sSubPr>
                <m:e>
                  <m:r>
                    <w:rPr>
                      <w:rFonts w:ascii="Cambria Math" w:hAnsi="Cambria Math"/>
                    </w:rPr>
                    <m:t>S</m:t>
                  </m:r>
                </m:e>
                <m:sub>
                  <m:r>
                    <m:rPr>
                      <m:sty m:val="p"/>
                    </m:rPr>
                    <w:rPr>
                      <w:rFonts w:ascii="Cambria Math" w:hAnsi="Cambria Math"/>
                    </w:rPr>
                    <m:t>Dev</m:t>
                  </m:r>
                </m:sub>
              </m:sSub>
            </m:oMath>
          </w:p>
        </w:tc>
        <w:tc>
          <w:tcPr>
            <w:tcW w:w="3274" w:type="dxa"/>
          </w:tcPr>
          <w:p w14:paraId="42CE47D7" w14:textId="77777777" w:rsidR="00EA25B2" w:rsidRPr="00BB360E" w:rsidRDefault="00542DDA">
            <m:oMath>
              <m:r>
                <w:rPr>
                  <w:rFonts w:ascii="Cambria Math" w:hAnsi="Cambria Math"/>
                </w:rPr>
                <m:t>-25</m:t>
              </m:r>
            </m:oMath>
            <w:r w:rsidR="00EA25B2" w:rsidRPr="00BB360E">
              <w:t xml:space="preserve"> dBm type-i device;</w:t>
            </w:r>
            <w:r w:rsidR="00EA25B2" w:rsidRPr="00BB360E">
              <w:br/>
            </w:r>
            <m:oMath>
              <m:r>
                <w:rPr>
                  <w:rFonts w:ascii="Cambria Math" w:hAnsi="Cambria Math"/>
                </w:rPr>
                <m:t>-40</m:t>
              </m:r>
            </m:oMath>
            <w:r w:rsidR="00EA25B2" w:rsidRPr="00BB360E">
              <w:t xml:space="preserve"> dBm type-ii (a) device [</w:t>
            </w:r>
            <w:r w:rsidR="00EA25B2" w:rsidRPr="00BB360E">
              <w:rPr>
                <w:color w:val="4472C4" w:themeColor="accent1"/>
              </w:rPr>
              <w:t>2</w:t>
            </w:r>
            <w:r w:rsidR="00EA25B2" w:rsidRPr="00BB360E">
              <w:t>].</w:t>
            </w:r>
          </w:p>
        </w:tc>
      </w:tr>
      <w:tr w:rsidR="00EA25B2" w:rsidRPr="00BB360E" w14:paraId="73338C36" w14:textId="77777777">
        <w:trPr>
          <w:jc w:val="center"/>
        </w:trPr>
        <w:tc>
          <w:tcPr>
            <w:tcW w:w="3951" w:type="dxa"/>
          </w:tcPr>
          <w:p w14:paraId="61F5B2DE" w14:textId="77777777" w:rsidR="00EA25B2" w:rsidRPr="00BB360E" w:rsidRDefault="00EA25B2">
            <w:r w:rsidRPr="00BB360E">
              <w:t>BS height</w:t>
            </w:r>
          </w:p>
        </w:tc>
        <w:tc>
          <w:tcPr>
            <w:tcW w:w="3274" w:type="dxa"/>
          </w:tcPr>
          <w:p w14:paraId="29DBE02B" w14:textId="77777777" w:rsidR="00EA25B2" w:rsidRPr="00BB360E" w:rsidRDefault="00542DDA">
            <w:pPr>
              <w:rPr>
                <w:rFonts w:eastAsia="DengXian"/>
              </w:rPr>
            </w:pPr>
            <m:oMath>
              <m:r>
                <w:rPr>
                  <w:rFonts w:ascii="Cambria Math" w:eastAsia="DengXian" w:hAnsi="Cambria Math"/>
                </w:rPr>
                <m:t>8</m:t>
              </m:r>
            </m:oMath>
            <w:r w:rsidR="00EA25B2" w:rsidRPr="00BB360E">
              <w:rPr>
                <w:rFonts w:eastAsia="DengXian"/>
              </w:rPr>
              <w:t xml:space="preserve"> m</w:t>
            </w:r>
          </w:p>
        </w:tc>
      </w:tr>
      <w:tr w:rsidR="00EA25B2" w:rsidRPr="00BB360E" w14:paraId="6F1A0038" w14:textId="77777777">
        <w:trPr>
          <w:jc w:val="center"/>
        </w:trPr>
        <w:tc>
          <w:tcPr>
            <w:tcW w:w="3951" w:type="dxa"/>
          </w:tcPr>
          <w:p w14:paraId="1B96F578" w14:textId="77777777" w:rsidR="00EA25B2" w:rsidRPr="00BB360E" w:rsidRDefault="00EA25B2">
            <w:r w:rsidRPr="00BB360E">
              <w:t>Device height</w:t>
            </w:r>
          </w:p>
        </w:tc>
        <w:tc>
          <w:tcPr>
            <w:tcW w:w="3274" w:type="dxa"/>
          </w:tcPr>
          <w:p w14:paraId="0953CE32" w14:textId="77777777" w:rsidR="00EA25B2" w:rsidRPr="00BB360E" w:rsidRDefault="00542DDA">
            <w:pPr>
              <w:rPr>
                <w:rFonts w:eastAsia="DengXian"/>
              </w:rPr>
            </w:pPr>
            <m:oMath>
              <m:r>
                <w:rPr>
                  <w:rFonts w:ascii="Cambria Math" w:eastAsia="DengXian" w:hAnsi="Cambria Math"/>
                </w:rPr>
                <m:t>1.5</m:t>
              </m:r>
            </m:oMath>
            <w:r w:rsidR="00EA25B2" w:rsidRPr="00BB360E">
              <w:rPr>
                <w:rFonts w:eastAsia="DengXian"/>
              </w:rPr>
              <w:t xml:space="preserve"> m</w:t>
            </w:r>
          </w:p>
        </w:tc>
      </w:tr>
    </w:tbl>
    <w:p w14:paraId="53875D0D" w14:textId="77777777" w:rsidR="00EA25B2" w:rsidRPr="00BB360E" w:rsidRDefault="00EA25B2" w:rsidP="005B0195">
      <w:pPr>
        <w:spacing w:before="120"/>
        <w:jc w:val="center"/>
      </w:pPr>
      <w:r w:rsidRPr="00BB360E">
        <w:lastRenderedPageBreak/>
        <w:t>Table 2. Parameter assumptions for D1T1 R2D link.</w:t>
      </w:r>
    </w:p>
    <w:p w14:paraId="661256C1" w14:textId="77777777" w:rsidR="005B0195" w:rsidRDefault="005B0195" w:rsidP="005B0195">
      <w:pPr>
        <w:spacing w:before="120"/>
        <w:jc w:val="center"/>
      </w:pPr>
    </w:p>
    <w:p w14:paraId="73CF7362" w14:textId="77777777" w:rsidR="005B0195" w:rsidRDefault="005B0195" w:rsidP="005B0195">
      <w:pPr>
        <w:spacing w:before="120"/>
        <w:jc w:val="center"/>
      </w:pPr>
    </w:p>
    <w:p w14:paraId="53862A6D" w14:textId="77777777" w:rsidR="005B0195" w:rsidRPr="00BB360E" w:rsidRDefault="005B0195" w:rsidP="00222DB3">
      <w:pPr>
        <w:spacing w:before="120"/>
        <w:jc w:val="center"/>
      </w:pPr>
    </w:p>
    <w:p w14:paraId="523AA7F3" w14:textId="62ADF6BC" w:rsidR="00EA25B2" w:rsidRPr="00BB360E" w:rsidRDefault="00EA25B2" w:rsidP="00EA25B2">
      <w:pPr>
        <w:jc w:val="both"/>
      </w:pPr>
      <w:r w:rsidRPr="00BB360E">
        <w:t xml:space="preserve">With the discussion above, we use the following formulas </w:t>
      </w:r>
      <w:r w:rsidR="00D464E1">
        <w:t xml:space="preserve">to </w:t>
      </w:r>
      <w:r w:rsidRPr="00BB360E">
        <w:t xml:space="preserve">highlight the derivation of MPL for R2D link. </w:t>
      </w:r>
    </w:p>
    <w:p w14:paraId="2F49E84D" w14:textId="77777777" w:rsidR="00EA25B2" w:rsidRPr="00BB360E" w:rsidRDefault="00542DDA" w:rsidP="00EA25B2">
      <w:pPr>
        <w:jc w:val="center"/>
      </w:pPr>
      <m:oMath>
        <m:r>
          <m:rPr>
            <m:sty m:val="p"/>
          </m:rPr>
          <w:rPr>
            <w:rFonts w:ascii="Cambria Math" w:hAnsi="Cambria Math"/>
          </w:rPr>
          <m:t>EIRP</m:t>
        </m:r>
        <m:r>
          <w:rPr>
            <w:rFonts w:ascii="Cambria Math" w:hAnsi="Cambria Math"/>
          </w:rPr>
          <m:t xml:space="preserve"> = </m:t>
        </m:r>
        <m:sSub>
          <m:sSubPr>
            <m:ctrlPr>
              <w:rPr>
                <w:rFonts w:ascii="Cambria Math" w:hAnsi="Cambria Math"/>
                <w:i/>
              </w:rPr>
            </m:ctrlPr>
          </m:sSubPr>
          <m:e>
            <m:r>
              <w:rPr>
                <w:rFonts w:ascii="Cambria Math" w:hAnsi="Cambria Math"/>
              </w:rPr>
              <m:t>P</m:t>
            </m:r>
          </m:e>
          <m:sub>
            <m:r>
              <m:rPr>
                <m:sty m:val="p"/>
              </m:rPr>
              <w:rPr>
                <w:rFonts w:ascii="Cambria Math" w:hAnsi="Cambria Math"/>
              </w:rPr>
              <m:t>Tx, BS</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r>
              <m:rPr>
                <m:sty m:val="p"/>
              </m:rPr>
              <w:rPr>
                <w:rFonts w:ascii="Cambria Math" w:hAnsi="Cambria Math"/>
              </w:rPr>
              <m:t>BS</m:t>
            </m:r>
          </m:sub>
        </m:sSub>
      </m:oMath>
      <w:r w:rsidR="00EA25B2" w:rsidRPr="00BB360E">
        <w:t xml:space="preserve">     (Eq.1)</w:t>
      </w:r>
    </w:p>
    <w:p w14:paraId="41618F57" w14:textId="77777777" w:rsidR="00EA25B2" w:rsidRPr="00BB360E" w:rsidRDefault="00222DB3" w:rsidP="00EA25B2">
      <w:pPr>
        <w:jc w:val="center"/>
      </w:pPr>
      <m:oMath>
        <m:sSub>
          <m:sSubPr>
            <m:ctrlPr>
              <w:rPr>
                <w:rFonts w:ascii="Cambria Math" w:hAnsi="Cambria Math"/>
                <w:i/>
              </w:rPr>
            </m:ctrlPr>
          </m:sSubPr>
          <m:e>
            <m:r>
              <m:rPr>
                <m:sty m:val="p"/>
              </m:rPr>
              <w:rPr>
                <w:rFonts w:ascii="Cambria Math" w:hAnsi="Cambria Math"/>
              </w:rPr>
              <m:t>MPL</m:t>
            </m:r>
          </m:e>
          <m:sub>
            <m:r>
              <m:rPr>
                <m:sty m:val="p"/>
              </m:rPr>
              <w:rPr>
                <w:rFonts w:ascii="Cambria Math" w:hAnsi="Cambria Math"/>
              </w:rPr>
              <m:t>R2D</m:t>
            </m:r>
          </m:sub>
        </m:sSub>
        <m:r>
          <w:rPr>
            <w:rFonts w:ascii="Cambria Math" w:hAnsi="Cambria Math"/>
          </w:rPr>
          <m:t xml:space="preserve"> = </m:t>
        </m:r>
        <m:r>
          <m:rPr>
            <m:sty m:val="p"/>
          </m:rPr>
          <w:rPr>
            <w:rFonts w:ascii="Cambria Math" w:hAnsi="Cambria Math"/>
          </w:rPr>
          <m:t>EIRP</m:t>
        </m:r>
        <m:r>
          <w:rPr>
            <w:rFonts w:ascii="Cambria Math" w:hAnsi="Cambria Math"/>
          </w:rPr>
          <m:t>+</m:t>
        </m:r>
        <m:sSub>
          <m:sSubPr>
            <m:ctrlPr>
              <w:rPr>
                <w:rFonts w:ascii="Cambria Math" w:hAnsi="Cambria Math"/>
                <w:i/>
              </w:rPr>
            </m:ctrlPr>
          </m:sSubPr>
          <m:e>
            <m:r>
              <w:rPr>
                <w:rFonts w:ascii="Cambria Math" w:hAnsi="Cambria Math"/>
              </w:rPr>
              <m:t>G</m:t>
            </m:r>
          </m:e>
          <m:sub>
            <m:r>
              <m:rPr>
                <m:sty m:val="p"/>
              </m:rPr>
              <w:rPr>
                <w:rFonts w:ascii="Cambria Math" w:hAnsi="Cambria Math"/>
              </w:rPr>
              <m:t>Dev</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Dev</m:t>
            </m:r>
          </m:sub>
        </m:sSub>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polar</m:t>
            </m:r>
          </m:sub>
        </m:sSub>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object</m:t>
            </m:r>
          </m:sub>
        </m:sSub>
      </m:oMath>
      <w:r w:rsidR="00EA25B2" w:rsidRPr="00BB360E">
        <w:t xml:space="preserve">     (Eq.2)</w:t>
      </w:r>
    </w:p>
    <w:p w14:paraId="56C4CD61" w14:textId="77777777" w:rsidR="00EA25B2" w:rsidRPr="00BB360E" w:rsidRDefault="00EA25B2" w:rsidP="00EA25B2">
      <w:pPr>
        <w:jc w:val="both"/>
      </w:pPr>
      <w:r w:rsidRPr="00BB360E">
        <w:t>A-IoT devices are attached to various objects made of different materials, such as cardboard, aluminium, etc. This diversity in materials introduces an "on-object antenna penalty," a phenomenon that adversely affects the antenna's performance. This penalty manifests as a reduction in both the R2D received signal power and the power of the D2R backscattered signal. The underlying cause of the on-object antenna penalty is the physical interaction between the device’s antenna and the material of the object it</w:t>
      </w:r>
      <w:r w:rsidRPr="00BB360E" w:rsidDel="00AB570E">
        <w:t>'</w:t>
      </w:r>
      <w:r w:rsidRPr="00BB360E">
        <w:t>s attached to. Different materials have different electromagnetic properties, which can alter the impedance matching between the tag antenna and the reader, leading to less efficient energy transfer and signal degradation.</w:t>
      </w:r>
    </w:p>
    <w:p w14:paraId="7BF6AE1D" w14:textId="77777777" w:rsidR="008578DA" w:rsidRPr="00BB360E" w:rsidRDefault="008578DA" w:rsidP="00EA25B2">
      <w:pPr>
        <w:jc w:val="both"/>
      </w:pPr>
    </w:p>
    <w:p w14:paraId="5707D4BC" w14:textId="59513683" w:rsidR="00EA25B2" w:rsidRPr="00BB360E" w:rsidRDefault="00BE42E1" w:rsidP="00EA25B2">
      <w:pPr>
        <w:jc w:val="both"/>
      </w:pPr>
      <w:r w:rsidRPr="00BE42E1">
        <w:rPr>
          <w:b/>
          <w:bCs/>
          <w:color w:val="000000" w:themeColor="text1"/>
        </w:rPr>
        <w:t>Proposal 3</w:t>
      </w:r>
      <w:r w:rsidR="00EA25B2" w:rsidRPr="00170DA5">
        <w:rPr>
          <w:b/>
          <w:bCs/>
        </w:rPr>
        <w:t xml:space="preserve">: </w:t>
      </w:r>
      <w:r w:rsidR="00197EC3" w:rsidRPr="00170DA5">
        <w:rPr>
          <w:b/>
          <w:bCs/>
        </w:rPr>
        <w:t>F</w:t>
      </w:r>
      <w:r w:rsidR="00EA25B2" w:rsidRPr="00170DA5">
        <w:rPr>
          <w:b/>
          <w:bCs/>
        </w:rPr>
        <w:t>or backscattering devices, i.e., type</w:t>
      </w:r>
      <w:r w:rsidR="00197EC3" w:rsidRPr="00170DA5">
        <w:rPr>
          <w:b/>
          <w:bCs/>
        </w:rPr>
        <w:t xml:space="preserve"> 1</w:t>
      </w:r>
      <w:r w:rsidR="00EA25B2" w:rsidRPr="00170DA5">
        <w:rPr>
          <w:b/>
          <w:bCs/>
        </w:rPr>
        <w:t xml:space="preserve"> and type</w:t>
      </w:r>
      <w:r w:rsidR="00197EC3" w:rsidRPr="00170DA5">
        <w:rPr>
          <w:b/>
          <w:bCs/>
        </w:rPr>
        <w:t xml:space="preserve"> 2a</w:t>
      </w:r>
      <w:r w:rsidR="00EA25B2" w:rsidRPr="00170DA5">
        <w:rPr>
          <w:b/>
          <w:bCs/>
        </w:rPr>
        <w:t xml:space="preserve"> devices</w:t>
      </w:r>
      <w:r w:rsidR="00377DC4" w:rsidRPr="00170DA5">
        <w:rPr>
          <w:b/>
          <w:bCs/>
        </w:rPr>
        <w:t>,</w:t>
      </w:r>
      <w:r w:rsidR="00EA25B2" w:rsidRPr="00170DA5">
        <w:rPr>
          <w:b/>
          <w:bCs/>
        </w:rPr>
        <w:t xml:space="preserve"> </w:t>
      </w:r>
      <w:r w:rsidR="00377DC4" w:rsidRPr="00170DA5">
        <w:rPr>
          <w:b/>
          <w:bCs/>
        </w:rPr>
        <w:t>an</w:t>
      </w:r>
      <w:r w:rsidR="00EA25B2" w:rsidRPr="00170DA5">
        <w:rPr>
          <w:b/>
          <w:bCs/>
        </w:rPr>
        <w:t xml:space="preserve"> on-object antenna penalty in both R2D and D2R links</w:t>
      </w:r>
      <w:r w:rsidR="00377DC4" w:rsidRPr="00170DA5">
        <w:rPr>
          <w:b/>
          <w:bCs/>
        </w:rPr>
        <w:t xml:space="preserve"> is considered.</w:t>
      </w:r>
      <w:r w:rsidR="00EA25B2" w:rsidRPr="00170DA5">
        <w:rPr>
          <w:b/>
          <w:bCs/>
        </w:rPr>
        <w:t xml:space="preserve"> </w:t>
      </w:r>
      <w:r w:rsidR="009A63E0" w:rsidRPr="00170DA5">
        <w:rPr>
          <w:b/>
          <w:bCs/>
        </w:rPr>
        <w:t>RAN1 assumes</w:t>
      </w:r>
      <w:r w:rsidR="00EA25B2" w:rsidRPr="00170DA5">
        <w:rPr>
          <w:b/>
          <w:bCs/>
        </w:rPr>
        <w:t xml:space="preserve"> </w:t>
      </w:r>
      <m:oMath>
        <m:r>
          <m:rPr>
            <m:sty m:val="bi"/>
          </m:rPr>
          <w:rPr>
            <w:rFonts w:ascii="Cambria Math" w:hAnsi="Cambria Math"/>
          </w:rPr>
          <m:t>0.9</m:t>
        </m:r>
      </m:oMath>
      <w:r w:rsidR="00EA25B2" w:rsidRPr="00170DA5">
        <w:rPr>
          <w:b/>
          <w:bCs/>
        </w:rPr>
        <w:t xml:space="preserve"> dB for cardboard sheet and </w:t>
      </w:r>
      <m:oMath>
        <m:r>
          <m:rPr>
            <m:sty m:val="bi"/>
          </m:rPr>
          <w:rPr>
            <w:rFonts w:ascii="Cambria Math" w:hAnsi="Cambria Math"/>
          </w:rPr>
          <m:t>10.4</m:t>
        </m:r>
      </m:oMath>
      <w:r w:rsidR="00EA25B2" w:rsidRPr="00170DA5">
        <w:rPr>
          <w:b/>
          <w:bCs/>
        </w:rPr>
        <w:t xml:space="preserve"> dB for aluminium slab as on-object antenna penalt</w:t>
      </w:r>
      <w:r w:rsidR="009A63E0" w:rsidRPr="00170DA5">
        <w:rPr>
          <w:b/>
          <w:bCs/>
        </w:rPr>
        <w:t>ies</w:t>
      </w:r>
      <w:r w:rsidR="00EA25B2" w:rsidRPr="00170DA5">
        <w:rPr>
          <w:b/>
          <w:bCs/>
        </w:rPr>
        <w:t>.</w:t>
      </w:r>
      <w:r w:rsidR="00EA25B2" w:rsidRPr="00BB360E">
        <w:t xml:space="preserve">  </w:t>
      </w:r>
    </w:p>
    <w:p w14:paraId="6279099C" w14:textId="77777777" w:rsidR="00EA25B2" w:rsidRPr="00BB360E" w:rsidRDefault="00EA25B2" w:rsidP="00EA25B2">
      <w:pPr>
        <w:jc w:val="center"/>
      </w:pPr>
      <w:r w:rsidRPr="00BB360E">
        <w:rPr>
          <w:noProof/>
        </w:rPr>
        <w:drawing>
          <wp:inline distT="0" distB="0" distL="0" distR="0" wp14:anchorId="03DEADA2" wp14:editId="10B7C671">
            <wp:extent cx="3130420" cy="2588336"/>
            <wp:effectExtent l="0" t="0" r="0" b="2540"/>
            <wp:docPr id="10" name="Picture 10" descr="A graph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devic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147379" cy="2602358"/>
                    </a:xfrm>
                    <a:prstGeom prst="rect">
                      <a:avLst/>
                    </a:prstGeom>
                  </pic:spPr>
                </pic:pic>
              </a:graphicData>
            </a:graphic>
          </wp:inline>
        </w:drawing>
      </w:r>
    </w:p>
    <w:p w14:paraId="5872934A" w14:textId="77777777" w:rsidR="00EA25B2" w:rsidRDefault="00EA25B2" w:rsidP="00EA25B2">
      <w:pPr>
        <w:jc w:val="center"/>
        <w:rPr>
          <w:color w:val="000000" w:themeColor="text1"/>
        </w:rPr>
      </w:pPr>
      <w:r w:rsidRPr="00BB360E">
        <w:rPr>
          <w:color w:val="000000" w:themeColor="text1"/>
        </w:rPr>
        <w:t>Figure 2. Device received signal power (dBm) as a function of R2D range (m) in the D1T1 R2D link.</w:t>
      </w:r>
    </w:p>
    <w:p w14:paraId="70AD20EA" w14:textId="77777777" w:rsidR="009A63E0" w:rsidRPr="00BB360E" w:rsidRDefault="009A63E0" w:rsidP="00EA25B2">
      <w:pPr>
        <w:jc w:val="center"/>
        <w:rPr>
          <w:color w:val="C00000"/>
        </w:rPr>
      </w:pPr>
    </w:p>
    <w:p w14:paraId="3E89741F" w14:textId="34DBB8D2" w:rsidR="00EA25B2" w:rsidRPr="00BB360E" w:rsidRDefault="00EA25B2" w:rsidP="00EA25B2">
      <w:pPr>
        <w:jc w:val="both"/>
      </w:pPr>
      <w:r w:rsidRPr="00BB360E">
        <w:t>Figure 2 illustrate</w:t>
      </w:r>
      <w:r w:rsidR="00C54E64">
        <w:t>s</w:t>
      </w:r>
      <w:r w:rsidRPr="00BB360E">
        <w:t xml:space="preserve"> the A-IoT device’s received signal power as a function of the communication range of the R2D link. Both LoS and NLoS R2D are considered; also, we consider cardboard sheet (</w:t>
      </w:r>
      <m:oMath>
        <m:r>
          <w:rPr>
            <w:rFonts w:ascii="Cambria Math" w:hAnsi="Cambria Math"/>
          </w:rPr>
          <m:t>0.9</m:t>
        </m:r>
      </m:oMath>
      <w:r w:rsidRPr="00BB360E">
        <w:t xml:space="preserve"> dB antenna penalty) and aluminium slab (</w:t>
      </w:r>
      <m:oMath>
        <m:r>
          <w:rPr>
            <w:rFonts w:ascii="Cambria Math" w:hAnsi="Cambria Math"/>
          </w:rPr>
          <m:t>10.4</m:t>
        </m:r>
      </m:oMath>
      <w:r w:rsidRPr="00BB360E">
        <w:t xml:space="preserve"> dB antenna penalty) as two types of the material for the attaching object. The InF-DH scenario with big hall setup is assumed in which the distance between BSs is </w:t>
      </w:r>
      <m:oMath>
        <m:r>
          <w:rPr>
            <w:rFonts w:ascii="Cambria Math" w:hAnsi="Cambria Math"/>
          </w:rPr>
          <m:t>D=50</m:t>
        </m:r>
      </m:oMath>
      <w:r w:rsidRPr="00BB360E">
        <w:t xml:space="preserve"> m.</w:t>
      </w:r>
    </w:p>
    <w:p w14:paraId="4B34E353" w14:textId="77777777" w:rsidR="008578DA" w:rsidRPr="00BB360E" w:rsidRDefault="008578DA" w:rsidP="00EA25B2">
      <w:pPr>
        <w:jc w:val="both"/>
      </w:pPr>
    </w:p>
    <w:p w14:paraId="3A3894DD" w14:textId="0AB5A85F" w:rsidR="00EA25B2" w:rsidRPr="00BB360E" w:rsidRDefault="00EA25B2" w:rsidP="00EA25B2">
      <w:pPr>
        <w:jc w:val="both"/>
      </w:pPr>
      <w:r w:rsidRPr="00BB360E">
        <w:lastRenderedPageBreak/>
        <w:t xml:space="preserve">In the indoor scenarios, the A-IoT devices are likely to connect to the BSs close to them for the sake of excitation. This requires that the device’s location/closeness is known by the network and the BS in their vicinity is scheduled to serve the R2D link. Therefore, a potential limit of the R2D link range is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r>
          <w:rPr>
            <w:rFonts w:ascii="Cambria Math" w:hAnsi="Cambria Math"/>
          </w:rPr>
          <m:t>D</m:t>
        </m:r>
      </m:oMath>
      <w:r w:rsidRPr="00BB360E">
        <w:t xml:space="preserve">. This value could be derived based on the illustration in Figure 5; there are four indoor BS which form a square with the distance between adjacent BSs being </w:t>
      </w:r>
      <m:oMath>
        <m:r>
          <w:rPr>
            <w:rFonts w:ascii="Cambria Math" w:hAnsi="Cambria Math"/>
          </w:rPr>
          <m:t>D</m:t>
        </m:r>
      </m:oMath>
      <w:r w:rsidRPr="00BB360E">
        <w:t xml:space="preserve">. Given that the A-IoT device is in the area highlighted in yellow, the two BSs at the bottom could be deployed to handle the device connection. And the maximum distance between any of the BS and the device is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r>
          <w:rPr>
            <w:rFonts w:ascii="Cambria Math" w:hAnsi="Cambria Math"/>
          </w:rPr>
          <m:t>D</m:t>
        </m:r>
      </m:oMath>
      <w:r w:rsidRPr="00BB360E">
        <w:t>.</w:t>
      </w:r>
    </w:p>
    <w:p w14:paraId="3483878D" w14:textId="77777777" w:rsidR="00EF2333" w:rsidRPr="00BB360E" w:rsidRDefault="00EF2333" w:rsidP="00EA25B2">
      <w:pPr>
        <w:jc w:val="both"/>
        <w:rPr>
          <w:b/>
          <w:bCs/>
          <w:color w:val="FF0000"/>
        </w:rPr>
      </w:pPr>
    </w:p>
    <w:p w14:paraId="36DA3710" w14:textId="10829C28" w:rsidR="00EA25B2" w:rsidRPr="00BB360E" w:rsidRDefault="00EA25B2" w:rsidP="00EA25B2">
      <w:pPr>
        <w:jc w:val="both"/>
      </w:pPr>
      <w:r w:rsidRPr="00BB360E">
        <w:t>The excitation threshold is assumed for type</w:t>
      </w:r>
      <w:r w:rsidR="00B961D7">
        <w:t xml:space="preserve"> 1</w:t>
      </w:r>
      <w:r w:rsidRPr="00BB360E">
        <w:t xml:space="preserve"> devices is </w:t>
      </w:r>
      <m:oMath>
        <m:r>
          <w:rPr>
            <w:rFonts w:ascii="Cambria Math" w:hAnsi="Cambria Math"/>
          </w:rPr>
          <m:t>-25</m:t>
        </m:r>
      </m:oMath>
      <w:r w:rsidRPr="00BB360E">
        <w:t xml:space="preserve"> dBm. Based on the results shown in Figure 1, type</w:t>
      </w:r>
      <w:r w:rsidR="00B961D7">
        <w:t xml:space="preserve"> 1</w:t>
      </w:r>
      <w:r w:rsidRPr="00BB360E">
        <w:t xml:space="preserve"> devices may fail to be excited given that the attaching material is aluminium. This observation holds no matter </w:t>
      </w:r>
      <w:r w:rsidR="005E67A4">
        <w:t>whether the communication is</w:t>
      </w:r>
      <w:r w:rsidRPr="00BB360E">
        <w:t xml:space="preserve"> LoS or NLoS.</w:t>
      </w:r>
    </w:p>
    <w:p w14:paraId="304F0DEF" w14:textId="77777777" w:rsidR="008578DA" w:rsidRPr="00BB360E" w:rsidRDefault="008578DA" w:rsidP="00EA25B2">
      <w:pPr>
        <w:jc w:val="both"/>
      </w:pPr>
    </w:p>
    <w:p w14:paraId="6C7F3494" w14:textId="18B0F723" w:rsidR="00EA25B2" w:rsidRPr="00C97334" w:rsidRDefault="00EA25B2" w:rsidP="00EA25B2">
      <w:pPr>
        <w:jc w:val="both"/>
        <w:rPr>
          <w:b/>
          <w:bCs/>
        </w:rPr>
      </w:pPr>
      <w:r w:rsidRPr="00C97334">
        <w:rPr>
          <w:b/>
          <w:bCs/>
        </w:rPr>
        <w:t xml:space="preserve">Observation </w:t>
      </w:r>
      <w:r w:rsidR="00C97334" w:rsidRPr="00C97334">
        <w:rPr>
          <w:b/>
          <w:bCs/>
        </w:rPr>
        <w:t>2</w:t>
      </w:r>
      <w:r w:rsidRPr="00C97334">
        <w:rPr>
          <w:b/>
          <w:bCs/>
        </w:rPr>
        <w:t xml:space="preserve">:  Given that the distance between two adjacent BSs in the big hall deployment equals </w:t>
      </w:r>
      <m:oMath>
        <m:r>
          <m:rPr>
            <m:sty m:val="bi"/>
          </m:rPr>
          <w:rPr>
            <w:rFonts w:ascii="Cambria Math" w:hAnsi="Cambria Math"/>
          </w:rPr>
          <m:t>D=50</m:t>
        </m:r>
      </m:oMath>
      <w:r w:rsidRPr="00C97334">
        <w:rPr>
          <w:b/>
          <w:bCs/>
        </w:rPr>
        <w:t xml:space="preserve"> m, </w:t>
      </w:r>
      <w:r w:rsidRPr="00C97334">
        <w:rPr>
          <w:b/>
          <w:bCs/>
          <w:color w:val="000000" w:themeColor="text1"/>
        </w:rPr>
        <w:t xml:space="preserve">the maximum R2D range is Approx. </w:t>
      </w:r>
      <m:oMath>
        <m:r>
          <m:rPr>
            <m:sty m:val="bi"/>
          </m:rPr>
          <w:rPr>
            <w:rFonts w:ascii="Cambria Math" w:hAnsi="Cambria Math"/>
            <w:color w:val="000000" w:themeColor="text1"/>
          </w:rPr>
          <m:t>35</m:t>
        </m:r>
      </m:oMath>
      <w:r w:rsidRPr="00C97334">
        <w:rPr>
          <w:b/>
          <w:bCs/>
          <w:color w:val="000000" w:themeColor="text1"/>
        </w:rPr>
        <w:t xml:space="preserve"> m</w:t>
      </w:r>
      <w:r w:rsidRPr="00C97334">
        <w:rPr>
          <w:b/>
          <w:bCs/>
        </w:rPr>
        <w:t>. This also implies that the type</w:t>
      </w:r>
      <w:r w:rsidR="00C97334" w:rsidRPr="00C97334">
        <w:rPr>
          <w:b/>
          <w:bCs/>
        </w:rPr>
        <w:t xml:space="preserve"> 1</w:t>
      </w:r>
      <w:r w:rsidRPr="00C97334">
        <w:rPr>
          <w:b/>
          <w:bCs/>
        </w:rPr>
        <w:t xml:space="preserve">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sidRPr="00C97334">
        <w:rPr>
          <w:b/>
          <w:bCs/>
        </w:rPr>
        <w:t xml:space="preserve"> and the device attached to the cardboard sheet. </w:t>
      </w:r>
    </w:p>
    <w:p w14:paraId="72F06CE7" w14:textId="77777777" w:rsidR="008578DA" w:rsidRPr="00BB360E" w:rsidRDefault="008578DA" w:rsidP="00EA25B2">
      <w:pPr>
        <w:jc w:val="both"/>
      </w:pPr>
    </w:p>
    <w:p w14:paraId="671114D0" w14:textId="39F5FCD9" w:rsidR="00EA25B2" w:rsidRPr="00BB360E" w:rsidRDefault="00EA25B2" w:rsidP="00EA25B2">
      <w:pPr>
        <w:jc w:val="both"/>
      </w:pPr>
      <w:r w:rsidRPr="00BB360E">
        <w:t>As for the type</w:t>
      </w:r>
      <w:r w:rsidR="008C476A">
        <w:t xml:space="preserve"> 2a</w:t>
      </w:r>
      <w:r w:rsidRPr="00BB360E">
        <w:t xml:space="preserve"> device, </w:t>
      </w:r>
      <m:oMath>
        <m:r>
          <w:rPr>
            <w:rFonts w:ascii="Cambria Math" w:hAnsi="Cambria Math"/>
          </w:rPr>
          <m:t>-40</m:t>
        </m:r>
      </m:oMath>
      <w:r w:rsidRPr="00BB360E">
        <w:t xml:space="preserve"> dBm is assumed as the corresponding excitation threshold. It can be observed that the cases with cardboard sheet and aluminium slab as attaching material are well supported. If R2D range goes beyond </w:t>
      </w:r>
      <m:oMath>
        <m:r>
          <w:rPr>
            <w:rFonts w:ascii="Cambria Math" w:hAnsi="Cambria Math"/>
          </w:rPr>
          <m:t>40</m:t>
        </m:r>
      </m:oMath>
      <w:r w:rsidRPr="00BB360E">
        <w:t xml:space="preserve"> m, the device would possibly not be excited; we note that this still satisfies the requirement for the considered </w:t>
      </w:r>
      <m:oMath>
        <m:f>
          <m:fPr>
            <m:ctrlPr>
              <w:rPr>
                <w:rFonts w:ascii="Cambria Math" w:hAnsi="Cambria Math"/>
                <w:i/>
                <w:color w:val="000000" w:themeColor="text1"/>
              </w:rPr>
            </m:ctrlPr>
          </m:fPr>
          <m:num>
            <m:rad>
              <m:radPr>
                <m:degHide m:val="1"/>
                <m:ctrlPr>
                  <w:rPr>
                    <w:rFonts w:ascii="Cambria Math" w:hAnsi="Cambria Math"/>
                    <w:i/>
                    <w:color w:val="000000" w:themeColor="text1"/>
                  </w:rPr>
                </m:ctrlPr>
              </m:radPr>
              <m:deg/>
              <m:e>
                <m:r>
                  <w:rPr>
                    <w:rFonts w:ascii="Cambria Math" w:hAnsi="Cambria Math"/>
                    <w:color w:val="000000" w:themeColor="text1"/>
                  </w:rPr>
                  <m:t>2</m:t>
                </m:r>
              </m:e>
            </m:rad>
          </m:num>
          <m:den>
            <m:r>
              <w:rPr>
                <w:rFonts w:ascii="Cambria Math" w:hAnsi="Cambria Math"/>
                <w:color w:val="000000" w:themeColor="text1"/>
              </w:rPr>
              <m:t>2</m:t>
            </m:r>
          </m:den>
        </m:f>
        <m:r>
          <w:rPr>
            <w:rFonts w:ascii="Cambria Math" w:hAnsi="Cambria Math"/>
            <w:color w:val="000000" w:themeColor="text1"/>
          </w:rPr>
          <m:t>D</m:t>
        </m:r>
      </m:oMath>
      <w:r w:rsidRPr="00BB360E">
        <w:rPr>
          <w:color w:val="000000" w:themeColor="text1"/>
        </w:rPr>
        <w:t xml:space="preserve"> </w:t>
      </w:r>
      <w:r w:rsidRPr="00BB360E">
        <w:t xml:space="preserve">R2D range </w:t>
      </w:r>
    </w:p>
    <w:p w14:paraId="155863EE" w14:textId="1BA52652" w:rsidR="00EA25B2" w:rsidRPr="00940EDC" w:rsidRDefault="007B50BE" w:rsidP="00EA25B2">
      <w:pPr>
        <w:jc w:val="both"/>
        <w:rPr>
          <w:b/>
        </w:rPr>
      </w:pPr>
      <w:r w:rsidRPr="00940EDC">
        <w:rPr>
          <w:b/>
          <w:color w:val="000000" w:themeColor="text1"/>
        </w:rPr>
        <w:t>Observation 3</w:t>
      </w:r>
      <w:r w:rsidR="00EA25B2" w:rsidRPr="00940EDC">
        <w:rPr>
          <w:b/>
          <w:color w:val="000000" w:themeColor="text1"/>
        </w:rPr>
        <w:t xml:space="preserve">: </w:t>
      </w:r>
      <w:r w:rsidRPr="00940EDC">
        <w:rPr>
          <w:b/>
        </w:rPr>
        <w:t>W</w:t>
      </w:r>
      <w:r w:rsidR="00EA25B2" w:rsidRPr="00940EDC">
        <w:rPr>
          <w:b/>
        </w:rPr>
        <w:t xml:space="preserve">hen </w:t>
      </w:r>
      <w:r w:rsidRPr="00940EDC">
        <w:rPr>
          <w:b/>
        </w:rPr>
        <w:t xml:space="preserve">the </w:t>
      </w:r>
      <w:r w:rsidR="00EA25B2" w:rsidRPr="00940EDC">
        <w:rPr>
          <w:b/>
        </w:rPr>
        <w:t xml:space="preserve">material </w:t>
      </w:r>
      <w:r w:rsidRPr="00940EDC">
        <w:rPr>
          <w:b/>
        </w:rPr>
        <w:t xml:space="preserve">that the device is attached to </w:t>
      </w:r>
      <w:r w:rsidR="00EA25B2" w:rsidRPr="00940EDC">
        <w:rPr>
          <w:b/>
        </w:rPr>
        <w:t>is reflective, e.g., metal, deploying type-</w:t>
      </w:r>
      <w:r w:rsidRPr="00940EDC">
        <w:rPr>
          <w:b/>
        </w:rPr>
        <w:t>2a</w:t>
      </w:r>
      <w:r w:rsidR="00EA25B2" w:rsidRPr="00940EDC">
        <w:rPr>
          <w:b/>
        </w:rPr>
        <w:t xml:space="preserve"> devices or active devices is required to ensure the successful command reception. </w:t>
      </w:r>
      <w:r w:rsidRPr="00940EDC">
        <w:rPr>
          <w:b/>
        </w:rPr>
        <w:t xml:space="preserve">Type 1 devices </w:t>
      </w:r>
      <w:r w:rsidR="00E52FA0" w:rsidRPr="00940EDC">
        <w:rPr>
          <w:b/>
        </w:rPr>
        <w:t>are not compatible with t</w:t>
      </w:r>
      <w:r w:rsidR="008A6D9E" w:rsidRPr="00940EDC">
        <w:rPr>
          <w:b/>
        </w:rPr>
        <w:t xml:space="preserve">he </w:t>
      </w:r>
      <w:r w:rsidR="00940EDC" w:rsidRPr="00940EDC">
        <w:rPr>
          <w:b/>
        </w:rPr>
        <w:t>D1T1 scenario.</w:t>
      </w:r>
      <w:r w:rsidR="00E52FA0" w:rsidRPr="00940EDC">
        <w:rPr>
          <w:b/>
        </w:rPr>
        <w:t xml:space="preserve"> </w:t>
      </w:r>
    </w:p>
    <w:p w14:paraId="178F0C36" w14:textId="77777777" w:rsidR="008578DA" w:rsidRPr="00BB360E" w:rsidRDefault="008578DA" w:rsidP="00EA25B2">
      <w:pPr>
        <w:jc w:val="both"/>
      </w:pPr>
    </w:p>
    <w:p w14:paraId="7AFE584E" w14:textId="096AF7CB" w:rsidR="00EA25B2" w:rsidRPr="00BB360E" w:rsidRDefault="00EA25B2" w:rsidP="00EA25B2">
      <w:pPr>
        <w:jc w:val="both"/>
      </w:pPr>
      <w:r w:rsidRPr="00BB360E">
        <w:t>According to both Eq.1 and 2, the MPL for R2D is calculated as</w:t>
      </w:r>
    </w:p>
    <w:p w14:paraId="0A8EA70B" w14:textId="77777777" w:rsidR="00EA25B2" w:rsidRPr="00BB360E" w:rsidRDefault="00EA25B2" w:rsidP="00C20ADC">
      <w:pPr>
        <w:pStyle w:val="ListParagraph"/>
        <w:numPr>
          <w:ilvl w:val="0"/>
          <w:numId w:val="21"/>
        </w:numPr>
        <w:spacing w:after="160" w:line="259" w:lineRule="auto"/>
        <w:ind w:firstLineChars="0"/>
        <w:contextualSpacing/>
        <w:jc w:val="both"/>
      </w:pPr>
      <w:r w:rsidRPr="00BB360E">
        <w:t xml:space="preserve">Type-i device: </w:t>
      </w:r>
      <m:oMath>
        <m:r>
          <w:rPr>
            <w:rFonts w:ascii="Cambria Math" w:hAnsi="Cambria Math"/>
          </w:rPr>
          <m:t>[52.6, 62.1]</m:t>
        </m:r>
      </m:oMath>
      <w:r w:rsidRPr="00BB360E">
        <w:t xml:space="preserve"> dB for MPL depending on the material of the attaching object.</w:t>
      </w:r>
    </w:p>
    <w:p w14:paraId="1DAB0A78" w14:textId="77777777" w:rsidR="00EA25B2" w:rsidRPr="00BB360E" w:rsidRDefault="00EA25B2" w:rsidP="00C20ADC">
      <w:pPr>
        <w:pStyle w:val="ListParagraph"/>
        <w:numPr>
          <w:ilvl w:val="0"/>
          <w:numId w:val="21"/>
        </w:numPr>
        <w:spacing w:after="160" w:line="259" w:lineRule="auto"/>
        <w:ind w:firstLineChars="0"/>
        <w:contextualSpacing/>
        <w:jc w:val="both"/>
      </w:pPr>
      <w:r w:rsidRPr="00BB360E">
        <w:t xml:space="preserve">Type-ii(a) device: </w:t>
      </w:r>
      <m:oMath>
        <m:r>
          <w:rPr>
            <w:rFonts w:ascii="Cambria Math" w:hAnsi="Cambria Math"/>
          </w:rPr>
          <m:t>[67.6, 77.1]</m:t>
        </m:r>
      </m:oMath>
      <w:r w:rsidRPr="00BB360E">
        <w:t xml:space="preserve"> dB for MPL depending on the material of the attaching object.</w:t>
      </w:r>
    </w:p>
    <w:p w14:paraId="45BD5D48" w14:textId="77777777" w:rsidR="00EA25B2" w:rsidRPr="00901314" w:rsidRDefault="00EA25B2" w:rsidP="00C20ADC">
      <w:pPr>
        <w:pStyle w:val="Heading1"/>
        <w:numPr>
          <w:ilvl w:val="0"/>
          <w:numId w:val="23"/>
        </w:numPr>
        <w:ind w:left="357" w:hanging="357"/>
        <w:rPr>
          <w:b/>
          <w:bCs w:val="0"/>
          <w:color w:val="000000" w:themeColor="text1"/>
        </w:rPr>
      </w:pPr>
      <w:r w:rsidRPr="00901314">
        <w:rPr>
          <w:b/>
          <w:bCs w:val="0"/>
          <w:color w:val="000000" w:themeColor="text1"/>
        </w:rPr>
        <w:t>Link Budget Analysis – D2R link</w:t>
      </w:r>
    </w:p>
    <w:p w14:paraId="0CB07C22" w14:textId="77777777" w:rsidR="00EA25B2" w:rsidRDefault="00EA25B2" w:rsidP="00EA25B2">
      <w:r w:rsidRPr="00BB360E">
        <w:t xml:space="preserve">The following table summarizes the parameters assumed for the link budget analysis for D2R link in different D1T1 scenarios, i.e., D1T1-A1, D1T1-A2, D1T1-B and </w:t>
      </w:r>
      <w:r w:rsidRPr="00BB360E">
        <w:rPr>
          <w:color w:val="000000" w:themeColor="text1"/>
        </w:rPr>
        <w:t>D1T1-C</w:t>
      </w:r>
      <w:r w:rsidRPr="00BB360E">
        <w:t xml:space="preserve">. </w:t>
      </w:r>
    </w:p>
    <w:p w14:paraId="26AE6F3F" w14:textId="77777777" w:rsidR="00E52CC3" w:rsidRPr="00BB360E" w:rsidRDefault="00E52CC3" w:rsidP="00EA25B2"/>
    <w:tbl>
      <w:tblPr>
        <w:tblStyle w:val="TableGrid"/>
        <w:tblW w:w="0" w:type="auto"/>
        <w:jc w:val="center"/>
        <w:tblLook w:val="04A0" w:firstRow="1" w:lastRow="0" w:firstColumn="1" w:lastColumn="0" w:noHBand="0" w:noVBand="1"/>
      </w:tblPr>
      <w:tblGrid>
        <w:gridCol w:w="4508"/>
        <w:gridCol w:w="4508"/>
      </w:tblGrid>
      <w:tr w:rsidR="00EA25B2" w:rsidRPr="00BB360E" w14:paraId="4F2ADD8A" w14:textId="77777777" w:rsidTr="00222DB3">
        <w:trPr>
          <w:jc w:val="center"/>
        </w:trPr>
        <w:tc>
          <w:tcPr>
            <w:tcW w:w="4508" w:type="dxa"/>
          </w:tcPr>
          <w:p w14:paraId="6996EA2F" w14:textId="77777777" w:rsidR="00EA25B2" w:rsidRPr="00BB360E" w:rsidRDefault="00EA25B2">
            <w:pPr>
              <w:jc w:val="both"/>
              <w:rPr>
                <w:b/>
                <w:bCs/>
              </w:rPr>
            </w:pPr>
            <w:r w:rsidRPr="00BB360E">
              <w:t>Frequency band</w:t>
            </w:r>
          </w:p>
        </w:tc>
        <w:tc>
          <w:tcPr>
            <w:tcW w:w="4508" w:type="dxa"/>
          </w:tcPr>
          <w:p w14:paraId="5DA2F200" w14:textId="77777777" w:rsidR="00EA25B2" w:rsidRPr="00BB360E" w:rsidRDefault="00542DDA">
            <w:pPr>
              <w:jc w:val="both"/>
              <w:rPr>
                <w:b/>
                <w:bCs/>
              </w:rPr>
            </w:pPr>
            <m:oMath>
              <m:r>
                <w:rPr>
                  <w:rFonts w:ascii="Cambria Math" w:hAnsi="Cambria Math"/>
                </w:rPr>
                <m:t>900</m:t>
              </m:r>
            </m:oMath>
            <w:r w:rsidR="00EA25B2" w:rsidRPr="00BB360E">
              <w:t xml:space="preserve"> MHz</w:t>
            </w:r>
          </w:p>
        </w:tc>
      </w:tr>
      <w:tr w:rsidR="00EA25B2" w:rsidRPr="00BB360E" w14:paraId="34777C59" w14:textId="77777777" w:rsidTr="00222DB3">
        <w:trPr>
          <w:jc w:val="center"/>
        </w:trPr>
        <w:tc>
          <w:tcPr>
            <w:tcW w:w="4508" w:type="dxa"/>
          </w:tcPr>
          <w:p w14:paraId="3A81D46B" w14:textId="77777777" w:rsidR="00EA25B2" w:rsidRPr="00BB360E" w:rsidRDefault="00EA25B2">
            <w:pPr>
              <w:jc w:val="both"/>
              <w:rPr>
                <w:b/>
                <w:bCs/>
              </w:rPr>
            </w:pPr>
            <w:r w:rsidRPr="00BB360E">
              <w:t xml:space="preserve">CW Tx. power (BS), </w:t>
            </w:r>
            <m:oMath>
              <m:sSub>
                <m:sSubPr>
                  <m:ctrlPr>
                    <w:rPr>
                      <w:rFonts w:ascii="Cambria Math" w:hAnsi="Cambria Math"/>
                      <w:i/>
                    </w:rPr>
                  </m:ctrlPr>
                </m:sSubPr>
                <m:e>
                  <m:r>
                    <w:rPr>
                      <w:rFonts w:ascii="Cambria Math" w:hAnsi="Cambria Math"/>
                    </w:rPr>
                    <m:t>P</m:t>
                  </m:r>
                </m:e>
                <m:sub>
                  <m:r>
                    <m:rPr>
                      <m:sty m:val="p"/>
                    </m:rPr>
                    <w:rPr>
                      <w:rFonts w:ascii="Cambria Math" w:hAnsi="Cambria Math"/>
                    </w:rPr>
                    <m:t>CW, BS</m:t>
                  </m:r>
                </m:sub>
              </m:sSub>
            </m:oMath>
          </w:p>
        </w:tc>
        <w:tc>
          <w:tcPr>
            <w:tcW w:w="4508" w:type="dxa"/>
          </w:tcPr>
          <w:p w14:paraId="21BEEC2F" w14:textId="77777777" w:rsidR="00EA25B2" w:rsidRPr="00BB360E" w:rsidRDefault="00542DDA">
            <w:pPr>
              <w:jc w:val="both"/>
              <w:rPr>
                <w:b/>
                <w:bCs/>
              </w:rPr>
            </w:pPr>
            <m:oMath>
              <m:r>
                <w:rPr>
                  <w:rFonts w:ascii="Cambria Math" w:hAnsi="Cambria Math"/>
                </w:rPr>
                <m:t>33</m:t>
              </m:r>
            </m:oMath>
            <w:r w:rsidR="00EA25B2" w:rsidRPr="00BB360E">
              <w:t xml:space="preserve"> dBm</w:t>
            </w:r>
          </w:p>
        </w:tc>
      </w:tr>
      <w:tr w:rsidR="00EA25B2" w:rsidRPr="00BB360E" w14:paraId="219F4D39" w14:textId="77777777" w:rsidTr="00222DB3">
        <w:trPr>
          <w:jc w:val="center"/>
        </w:trPr>
        <w:tc>
          <w:tcPr>
            <w:tcW w:w="4508" w:type="dxa"/>
          </w:tcPr>
          <w:p w14:paraId="66EA41CA" w14:textId="77777777" w:rsidR="00EA25B2" w:rsidRPr="00BB360E" w:rsidRDefault="00EA25B2">
            <w:pPr>
              <w:jc w:val="both"/>
            </w:pPr>
            <w:r w:rsidRPr="00BB360E">
              <w:t xml:space="preserve">CW Tx. antenna gain (BS), </w:t>
            </w:r>
            <m:oMath>
              <m:sSub>
                <m:sSubPr>
                  <m:ctrlPr>
                    <w:rPr>
                      <w:rFonts w:ascii="Cambria Math" w:hAnsi="Cambria Math"/>
                      <w:i/>
                    </w:rPr>
                  </m:ctrlPr>
                </m:sSubPr>
                <m:e>
                  <m:r>
                    <w:rPr>
                      <w:rFonts w:ascii="Cambria Math" w:hAnsi="Cambria Math"/>
                    </w:rPr>
                    <m:t>G</m:t>
                  </m:r>
                </m:e>
                <m:sub>
                  <m:r>
                    <m:rPr>
                      <m:sty m:val="p"/>
                    </m:rPr>
                    <w:rPr>
                      <w:rFonts w:ascii="Cambria Math" w:hAnsi="Cambria Math"/>
                    </w:rPr>
                    <m:t>BS</m:t>
                  </m:r>
                </m:sub>
              </m:sSub>
            </m:oMath>
          </w:p>
        </w:tc>
        <w:tc>
          <w:tcPr>
            <w:tcW w:w="4508" w:type="dxa"/>
          </w:tcPr>
          <w:p w14:paraId="43EACBF5" w14:textId="77777777" w:rsidR="00EA25B2" w:rsidRPr="00BB360E" w:rsidRDefault="00EA25B2">
            <w:pPr>
              <w:jc w:val="both"/>
              <w:rPr>
                <w:rFonts w:eastAsia="DengXian"/>
              </w:rPr>
            </w:pPr>
            <w:r w:rsidRPr="00BB360E">
              <w:t xml:space="preserve">BS: </w:t>
            </w:r>
            <m:oMath>
              <m:r>
                <w:rPr>
                  <w:rFonts w:ascii="Cambria Math" w:hAnsi="Cambria Math"/>
                </w:rPr>
                <m:t>6</m:t>
              </m:r>
            </m:oMath>
            <w:r w:rsidRPr="00BB360E">
              <w:t xml:space="preserve"> dBi; UE: 2 dBi</w:t>
            </w:r>
          </w:p>
        </w:tc>
      </w:tr>
      <w:tr w:rsidR="00EA25B2" w:rsidRPr="00BB360E" w14:paraId="704393DF" w14:textId="77777777" w:rsidTr="00222DB3">
        <w:trPr>
          <w:jc w:val="center"/>
        </w:trPr>
        <w:tc>
          <w:tcPr>
            <w:tcW w:w="4508" w:type="dxa"/>
          </w:tcPr>
          <w:p w14:paraId="776247AA" w14:textId="77777777" w:rsidR="00EA25B2" w:rsidRPr="00BB360E" w:rsidRDefault="00EA25B2">
            <w:pPr>
              <w:jc w:val="both"/>
            </w:pPr>
            <w:r w:rsidRPr="00BB360E">
              <w:t xml:space="preserve">Device antenna gain (device), </w:t>
            </w:r>
            <m:oMath>
              <m:sSub>
                <m:sSubPr>
                  <m:ctrlPr>
                    <w:rPr>
                      <w:rFonts w:ascii="Cambria Math" w:hAnsi="Cambria Math"/>
                      <w:i/>
                    </w:rPr>
                  </m:ctrlPr>
                </m:sSubPr>
                <m:e>
                  <m:r>
                    <w:rPr>
                      <w:rFonts w:ascii="Cambria Math" w:hAnsi="Cambria Math"/>
                    </w:rPr>
                    <m:t>G</m:t>
                  </m:r>
                </m:e>
                <m:sub>
                  <m:r>
                    <m:rPr>
                      <m:sty m:val="p"/>
                    </m:rPr>
                    <w:rPr>
                      <w:rFonts w:ascii="Cambria Math" w:hAnsi="Cambria Math"/>
                    </w:rPr>
                    <m:t>Dev</m:t>
                  </m:r>
                </m:sub>
              </m:sSub>
            </m:oMath>
          </w:p>
        </w:tc>
        <w:tc>
          <w:tcPr>
            <w:tcW w:w="4508" w:type="dxa"/>
          </w:tcPr>
          <w:p w14:paraId="10643B4C" w14:textId="77777777" w:rsidR="00EA25B2" w:rsidRPr="00BB360E" w:rsidRDefault="00542DDA">
            <w:pPr>
              <w:jc w:val="both"/>
              <w:rPr>
                <w:rFonts w:eastAsia="DengXian"/>
              </w:rPr>
            </w:pPr>
            <m:oMath>
              <m:r>
                <w:rPr>
                  <w:rFonts w:ascii="Cambria Math" w:hAnsi="Cambria Math"/>
                </w:rPr>
                <m:t>2</m:t>
              </m:r>
            </m:oMath>
            <w:r w:rsidR="00EA25B2" w:rsidRPr="00BB360E">
              <w:t xml:space="preserve"> dBi</w:t>
            </w:r>
          </w:p>
        </w:tc>
      </w:tr>
      <w:tr w:rsidR="00EA25B2" w:rsidRPr="00BB360E" w14:paraId="33416F28" w14:textId="77777777" w:rsidTr="00222DB3">
        <w:trPr>
          <w:jc w:val="center"/>
        </w:trPr>
        <w:tc>
          <w:tcPr>
            <w:tcW w:w="4508" w:type="dxa"/>
          </w:tcPr>
          <w:p w14:paraId="6B8CB3DE" w14:textId="77777777" w:rsidR="00EA25B2" w:rsidRPr="00BB360E" w:rsidRDefault="00EA25B2">
            <w:pPr>
              <w:jc w:val="both"/>
            </w:pPr>
            <w:r w:rsidRPr="00BB360E">
              <w:t xml:space="preserve">Modulation factor (equivalent to backscatter loss), </w:t>
            </w:r>
            <m:oMath>
              <m:r>
                <w:rPr>
                  <w:rFonts w:ascii="Cambria Math" w:hAnsi="Cambria Math"/>
                </w:rPr>
                <m:t>M</m:t>
              </m:r>
            </m:oMath>
          </w:p>
        </w:tc>
        <w:tc>
          <w:tcPr>
            <w:tcW w:w="4508" w:type="dxa"/>
          </w:tcPr>
          <w:p w14:paraId="0FDD2E2F" w14:textId="77777777" w:rsidR="00EA25B2" w:rsidRPr="00BB360E" w:rsidRDefault="00542DDA">
            <w:pPr>
              <w:spacing w:before="120"/>
              <w:jc w:val="both"/>
              <w:rPr>
                <w:rFonts w:eastAsia="DengXian"/>
              </w:rPr>
            </w:pPr>
            <m:oMath>
              <m:r>
                <w:rPr>
                  <w:rFonts w:ascii="Cambria Math" w:eastAsia="DengXian" w:hAnsi="Cambria Math"/>
                </w:rPr>
                <m:t>6</m:t>
              </m:r>
            </m:oMath>
            <w:r w:rsidR="00EA25B2" w:rsidRPr="00BB360E">
              <w:rPr>
                <w:rFonts w:eastAsia="DengXian"/>
              </w:rPr>
              <w:t xml:space="preserve"> dB; only applies to backscattering devices</w:t>
            </w:r>
          </w:p>
        </w:tc>
      </w:tr>
      <w:tr w:rsidR="00EA25B2" w:rsidRPr="00BB360E" w14:paraId="38431BD5" w14:textId="77777777" w:rsidTr="00222DB3">
        <w:trPr>
          <w:jc w:val="center"/>
        </w:trPr>
        <w:tc>
          <w:tcPr>
            <w:tcW w:w="4508" w:type="dxa"/>
          </w:tcPr>
          <w:p w14:paraId="70522034" w14:textId="77777777" w:rsidR="00EA25B2" w:rsidRPr="00BB360E" w:rsidRDefault="00EA25B2">
            <w:pPr>
              <w:jc w:val="both"/>
            </w:pPr>
            <w:r w:rsidRPr="00BB360E">
              <w:t xml:space="preserve">Backscattering amplification gain, </w:t>
            </w:r>
            <m:oMath>
              <m:sSub>
                <m:sSubPr>
                  <m:ctrlPr>
                    <w:rPr>
                      <w:rFonts w:ascii="Cambria Math" w:hAnsi="Cambria Math"/>
                      <w:i/>
                    </w:rPr>
                  </m:ctrlPr>
                </m:sSubPr>
                <m:e>
                  <m:r>
                    <w:rPr>
                      <w:rFonts w:ascii="Cambria Math" w:hAnsi="Cambria Math"/>
                    </w:rPr>
                    <m:t>G</m:t>
                  </m:r>
                </m:e>
                <m:sub>
                  <m:r>
                    <m:rPr>
                      <m:sty m:val="p"/>
                    </m:rPr>
                    <w:rPr>
                      <w:rFonts w:ascii="Cambria Math" w:hAnsi="Cambria Math"/>
                    </w:rPr>
                    <m:t>reflect</m:t>
                  </m:r>
                </m:sub>
              </m:sSub>
            </m:oMath>
          </w:p>
        </w:tc>
        <w:tc>
          <w:tcPr>
            <w:tcW w:w="4508" w:type="dxa"/>
          </w:tcPr>
          <w:p w14:paraId="19AA6075" w14:textId="705B3DDE" w:rsidR="00EA25B2" w:rsidRPr="00BB360E" w:rsidRDefault="00EA25B2">
            <w:pPr>
              <w:jc w:val="both"/>
              <w:rPr>
                <w:rFonts w:eastAsia="DengXian"/>
              </w:rPr>
            </w:pPr>
            <w:r w:rsidRPr="00BB360E">
              <w:t>Type</w:t>
            </w:r>
            <w:r w:rsidR="00056D90">
              <w:t xml:space="preserve"> 1</w:t>
            </w:r>
            <w:r w:rsidRPr="00BB360E">
              <w:t xml:space="preserve">: </w:t>
            </w:r>
            <m:oMath>
              <m:r>
                <w:rPr>
                  <w:rFonts w:ascii="Cambria Math" w:hAnsi="Cambria Math"/>
                </w:rPr>
                <m:t>0</m:t>
              </m:r>
            </m:oMath>
            <w:r w:rsidRPr="00BB360E">
              <w:rPr>
                <w:rFonts w:eastAsia="DengXian"/>
              </w:rPr>
              <w:t xml:space="preserve"> dB; t</w:t>
            </w:r>
            <w:r w:rsidRPr="00BB360E">
              <w:t>ype</w:t>
            </w:r>
            <w:r w:rsidR="00056D90">
              <w:t xml:space="preserve"> 2a</w:t>
            </w:r>
            <w:r w:rsidRPr="00BB360E">
              <w:t xml:space="preserve">: </w:t>
            </w:r>
            <m:oMath>
              <m:r>
                <w:rPr>
                  <w:rFonts w:ascii="Cambria Math" w:eastAsia="DengXian" w:hAnsi="Cambria Math"/>
                </w:rPr>
                <m:t>10</m:t>
              </m:r>
            </m:oMath>
            <w:r w:rsidRPr="00BB360E">
              <w:rPr>
                <w:rFonts w:eastAsia="DengXian"/>
              </w:rPr>
              <w:t xml:space="preserve"> dB</w:t>
            </w:r>
          </w:p>
        </w:tc>
      </w:tr>
      <w:tr w:rsidR="00EA25B2" w:rsidRPr="00BB360E" w14:paraId="06FE806C" w14:textId="77777777" w:rsidTr="00222DB3">
        <w:trPr>
          <w:jc w:val="center"/>
        </w:trPr>
        <w:tc>
          <w:tcPr>
            <w:tcW w:w="4508" w:type="dxa"/>
          </w:tcPr>
          <w:p w14:paraId="018F7E1E" w14:textId="77777777" w:rsidR="00EA25B2" w:rsidRPr="00BB360E" w:rsidRDefault="00EA25B2">
            <w:pPr>
              <w:jc w:val="both"/>
            </w:pPr>
            <w:r w:rsidRPr="00BB360E">
              <w:lastRenderedPageBreak/>
              <w:t xml:space="preserve">D2R Tx. power (device), </w:t>
            </w:r>
            <m:oMath>
              <m:sSub>
                <m:sSubPr>
                  <m:ctrlPr>
                    <w:rPr>
                      <w:rFonts w:ascii="Cambria Math" w:hAnsi="Cambria Math"/>
                      <w:i/>
                    </w:rPr>
                  </m:ctrlPr>
                </m:sSubPr>
                <m:e>
                  <m:r>
                    <w:rPr>
                      <w:rFonts w:ascii="Cambria Math" w:hAnsi="Cambria Math"/>
                    </w:rPr>
                    <m:t>P</m:t>
                  </m:r>
                </m:e>
                <m:sub>
                  <m:r>
                    <m:rPr>
                      <m:sty m:val="p"/>
                    </m:rPr>
                    <w:rPr>
                      <w:rFonts w:ascii="Cambria Math" w:hAnsi="Cambria Math"/>
                    </w:rPr>
                    <m:t>Tx, Dev</m:t>
                  </m:r>
                </m:sub>
              </m:sSub>
            </m:oMath>
          </w:p>
        </w:tc>
        <w:tc>
          <w:tcPr>
            <w:tcW w:w="4508" w:type="dxa"/>
          </w:tcPr>
          <w:p w14:paraId="78E6002A" w14:textId="77777777" w:rsidR="00EA25B2" w:rsidRPr="00BB360E" w:rsidRDefault="00EA25B2">
            <w:pPr>
              <w:jc w:val="both"/>
              <w:rPr>
                <w:rFonts w:eastAsia="DengXian"/>
              </w:rPr>
            </w:pPr>
            <w:r w:rsidRPr="00BB360E">
              <w:rPr>
                <w:rFonts w:eastAsia="DengXian"/>
              </w:rPr>
              <w:t>For backscattering device dependent on pathloss from CWE to device (see note 1);</w:t>
            </w:r>
          </w:p>
          <w:p w14:paraId="2AA13F1A" w14:textId="4467F908" w:rsidR="00EA25B2" w:rsidRPr="00BB360E" w:rsidRDefault="00056D90">
            <w:pPr>
              <w:jc w:val="both"/>
              <w:rPr>
                <w:rFonts w:eastAsia="DengXian"/>
              </w:rPr>
            </w:pPr>
            <w:r w:rsidRPr="00BB360E">
              <w:t>T</w:t>
            </w:r>
            <w:r w:rsidR="00EA25B2" w:rsidRPr="00BB360E">
              <w:rPr>
                <w:rFonts w:eastAsia="DengXian"/>
              </w:rPr>
              <w:t>ype</w:t>
            </w:r>
            <w:r>
              <w:rPr>
                <w:rFonts w:eastAsia="DengXian"/>
              </w:rPr>
              <w:t xml:space="preserve"> 2b</w:t>
            </w:r>
            <w:r w:rsidR="00EA25B2" w:rsidRPr="00BB360E">
              <w:rPr>
                <w:rFonts w:eastAsia="DengXian"/>
              </w:rPr>
              <w:t xml:space="preserve"> devices: </w:t>
            </w:r>
            <m:oMath>
              <m:r>
                <w:rPr>
                  <w:rFonts w:ascii="Cambria Math" w:hAnsi="Cambria Math"/>
                </w:rPr>
                <m:t>-10</m:t>
              </m:r>
            </m:oMath>
            <w:r w:rsidR="00EA25B2" w:rsidRPr="00BB360E">
              <w:t xml:space="preserve"> dBm</w:t>
            </w:r>
          </w:p>
        </w:tc>
      </w:tr>
      <w:tr w:rsidR="00EA25B2" w:rsidRPr="00BB360E" w14:paraId="435CD373" w14:textId="77777777" w:rsidTr="00222DB3">
        <w:trPr>
          <w:jc w:val="center"/>
        </w:trPr>
        <w:tc>
          <w:tcPr>
            <w:tcW w:w="4508" w:type="dxa"/>
          </w:tcPr>
          <w:p w14:paraId="6C9156A5" w14:textId="77777777" w:rsidR="00EA25B2" w:rsidRPr="00BB360E" w:rsidRDefault="00EA25B2">
            <w:pPr>
              <w:jc w:val="both"/>
            </w:pPr>
            <w:r w:rsidRPr="00BB360E">
              <w:t xml:space="preserve">Polarisation mismatch, </w:t>
            </w:r>
            <m:oMath>
              <m:sSub>
                <m:sSubPr>
                  <m:ctrlPr>
                    <w:rPr>
                      <w:rFonts w:ascii="Cambria Math" w:hAnsi="Cambria Math"/>
                      <w:i/>
                    </w:rPr>
                  </m:ctrlPr>
                </m:sSubPr>
                <m:e>
                  <m:r>
                    <w:rPr>
                      <w:rFonts w:ascii="Cambria Math" w:hAnsi="Cambria Math"/>
                    </w:rPr>
                    <m:t>L</m:t>
                  </m:r>
                </m:e>
                <m:sub>
                  <m:r>
                    <m:rPr>
                      <m:sty m:val="p"/>
                    </m:rPr>
                    <w:rPr>
                      <w:rFonts w:ascii="Cambria Math" w:hAnsi="Cambria Math"/>
                    </w:rPr>
                    <m:t>polar</m:t>
                  </m:r>
                </m:sub>
              </m:sSub>
            </m:oMath>
          </w:p>
        </w:tc>
        <w:tc>
          <w:tcPr>
            <w:tcW w:w="4508" w:type="dxa"/>
          </w:tcPr>
          <w:p w14:paraId="1EB5E69D" w14:textId="77777777" w:rsidR="00EA25B2" w:rsidRPr="00BB360E" w:rsidRDefault="00542DDA">
            <w:pPr>
              <w:jc w:val="both"/>
              <w:rPr>
                <w:rFonts w:eastAsia="DengXian"/>
              </w:rPr>
            </w:pPr>
            <m:oMath>
              <m:r>
                <w:rPr>
                  <w:rFonts w:ascii="Cambria Math" w:hAnsi="Cambria Math"/>
                </w:rPr>
                <m:t>3</m:t>
              </m:r>
            </m:oMath>
            <w:r w:rsidR="00EA25B2" w:rsidRPr="00BB360E">
              <w:t xml:space="preserve"> dB</w:t>
            </w:r>
          </w:p>
        </w:tc>
      </w:tr>
      <w:tr w:rsidR="00EA25B2" w:rsidRPr="00BB360E" w14:paraId="555B8A85" w14:textId="77777777" w:rsidTr="00222DB3">
        <w:trPr>
          <w:jc w:val="center"/>
        </w:trPr>
        <w:tc>
          <w:tcPr>
            <w:tcW w:w="4508" w:type="dxa"/>
          </w:tcPr>
          <w:p w14:paraId="5B28C861" w14:textId="77777777" w:rsidR="00EA25B2" w:rsidRPr="00BB360E" w:rsidRDefault="00EA25B2">
            <w:pPr>
              <w:spacing w:before="240"/>
              <w:jc w:val="both"/>
            </w:pPr>
            <w:r w:rsidRPr="00BB360E">
              <w:t xml:space="preserve">On-object antenna penalty </w:t>
            </w:r>
            <m:oMath>
              <m:sSub>
                <m:sSubPr>
                  <m:ctrlPr>
                    <w:rPr>
                      <w:rFonts w:ascii="Cambria Math" w:hAnsi="Cambria Math"/>
                      <w:i/>
                    </w:rPr>
                  </m:ctrlPr>
                </m:sSubPr>
                <m:e>
                  <m:r>
                    <w:rPr>
                      <w:rFonts w:ascii="Cambria Math" w:hAnsi="Cambria Math"/>
                    </w:rPr>
                    <m:t>L</m:t>
                  </m:r>
                </m:e>
                <m:sub>
                  <m:r>
                    <m:rPr>
                      <m:sty m:val="p"/>
                    </m:rPr>
                    <w:rPr>
                      <w:rFonts w:ascii="Cambria Math" w:hAnsi="Cambria Math"/>
                    </w:rPr>
                    <m:t>object</m:t>
                  </m:r>
                </m:sub>
              </m:sSub>
            </m:oMath>
          </w:p>
        </w:tc>
        <w:tc>
          <w:tcPr>
            <w:tcW w:w="4508" w:type="dxa"/>
          </w:tcPr>
          <w:p w14:paraId="469C16C4" w14:textId="77777777" w:rsidR="00EA25B2" w:rsidRPr="00BB360E" w:rsidRDefault="00542DDA">
            <m:oMath>
              <m:r>
                <w:rPr>
                  <w:rFonts w:ascii="Cambria Math" w:hAnsi="Cambria Math"/>
                </w:rPr>
                <m:t>0.9</m:t>
              </m:r>
            </m:oMath>
            <w:r w:rsidR="00EA25B2" w:rsidRPr="00BB360E">
              <w:t xml:space="preserve"> dB – cardboard sheet</w:t>
            </w:r>
          </w:p>
          <w:p w14:paraId="6D223BC3" w14:textId="77777777" w:rsidR="00EA25B2" w:rsidRPr="00BB360E" w:rsidRDefault="00542DDA">
            <w:pPr>
              <w:rPr>
                <w:rFonts w:eastAsia="DengXian"/>
              </w:rPr>
            </w:pPr>
            <m:oMath>
              <m:r>
                <w:rPr>
                  <w:rFonts w:ascii="Cambria Math" w:hAnsi="Cambria Math"/>
                </w:rPr>
                <m:t>10.4</m:t>
              </m:r>
            </m:oMath>
            <w:r w:rsidR="00EA25B2" w:rsidRPr="00BB360E">
              <w:t xml:space="preserve"> dB – aluminium slab </w:t>
            </w:r>
            <w:r w:rsidR="00EA25B2" w:rsidRPr="00BB360E">
              <w:br/>
              <w:t>other values [</w:t>
            </w:r>
            <w:r w:rsidR="00EA25B2" w:rsidRPr="00BB360E">
              <w:rPr>
                <w:color w:val="4472C4" w:themeColor="accent1"/>
              </w:rPr>
              <w:t>1</w:t>
            </w:r>
            <w:r w:rsidR="00EA25B2" w:rsidRPr="00BB360E">
              <w:t>]</w:t>
            </w:r>
          </w:p>
        </w:tc>
      </w:tr>
      <w:tr w:rsidR="00EA25B2" w:rsidRPr="00BB360E" w14:paraId="7C2415D0" w14:textId="77777777" w:rsidTr="00222DB3">
        <w:trPr>
          <w:jc w:val="center"/>
        </w:trPr>
        <w:tc>
          <w:tcPr>
            <w:tcW w:w="4508" w:type="dxa"/>
          </w:tcPr>
          <w:p w14:paraId="33DDF2B3" w14:textId="77777777" w:rsidR="00EA25B2" w:rsidRPr="00BB360E" w:rsidRDefault="00EA25B2">
            <w:pPr>
              <w:tabs>
                <w:tab w:val="left" w:pos="3440"/>
              </w:tabs>
            </w:pPr>
            <w:r w:rsidRPr="00BB360E">
              <w:t>EIRP</w:t>
            </w:r>
          </w:p>
        </w:tc>
        <w:tc>
          <w:tcPr>
            <w:tcW w:w="4508" w:type="dxa"/>
          </w:tcPr>
          <w:p w14:paraId="64B48375" w14:textId="77777777" w:rsidR="00EA25B2" w:rsidRPr="00BB360E" w:rsidRDefault="00EA25B2">
            <w:pPr>
              <w:rPr>
                <w:rFonts w:eastAsia="DengXian"/>
              </w:rPr>
            </w:pPr>
            <w:r w:rsidRPr="00BB360E">
              <w:rPr>
                <w:rFonts w:eastAsia="DengXian"/>
              </w:rPr>
              <w:t>See note (2)</w:t>
            </w:r>
          </w:p>
        </w:tc>
      </w:tr>
      <w:tr w:rsidR="00EA25B2" w:rsidRPr="00BB360E" w14:paraId="6682A71C" w14:textId="77777777" w:rsidTr="00222DB3">
        <w:trPr>
          <w:jc w:val="center"/>
        </w:trPr>
        <w:tc>
          <w:tcPr>
            <w:tcW w:w="4508" w:type="dxa"/>
          </w:tcPr>
          <w:p w14:paraId="0F65C580" w14:textId="77777777" w:rsidR="00EA25B2" w:rsidRPr="00BB360E" w:rsidRDefault="00EA25B2">
            <w:pPr>
              <w:jc w:val="both"/>
            </w:pPr>
            <w:r w:rsidRPr="00BB360E">
              <w:t xml:space="preserve">Reader sensitivity, </w:t>
            </w:r>
            <m:oMath>
              <m:sSub>
                <m:sSubPr>
                  <m:ctrlPr>
                    <w:rPr>
                      <w:rFonts w:ascii="Cambria Math" w:hAnsi="Cambria Math"/>
                      <w:i/>
                    </w:rPr>
                  </m:ctrlPr>
                </m:sSubPr>
                <m:e>
                  <m:r>
                    <w:rPr>
                      <w:rFonts w:ascii="Cambria Math" w:hAnsi="Cambria Math"/>
                    </w:rPr>
                    <m:t>S</m:t>
                  </m:r>
                </m:e>
                <m:sub>
                  <m:r>
                    <w:rPr>
                      <w:rFonts w:ascii="Cambria Math" w:hAnsi="Cambria Math"/>
                    </w:rPr>
                    <m:t>BS</m:t>
                  </m:r>
                </m:sub>
              </m:sSub>
            </m:oMath>
          </w:p>
        </w:tc>
        <w:tc>
          <w:tcPr>
            <w:tcW w:w="4508" w:type="dxa"/>
          </w:tcPr>
          <w:p w14:paraId="4E567992" w14:textId="77777777" w:rsidR="00EA25B2" w:rsidRPr="00BB360E" w:rsidRDefault="00542DDA">
            <w:pPr>
              <w:rPr>
                <w:rFonts w:eastAsia="DengXian"/>
              </w:rPr>
            </w:pPr>
            <m:oMath>
              <m:r>
                <w:rPr>
                  <w:rFonts w:ascii="Cambria Math" w:hAnsi="Cambria Math"/>
                </w:rPr>
                <m:t>-115</m:t>
              </m:r>
            </m:oMath>
            <w:r w:rsidR="00EA25B2" w:rsidRPr="00BB360E">
              <w:t xml:space="preserve"> dBm</w:t>
            </w:r>
          </w:p>
        </w:tc>
      </w:tr>
    </w:tbl>
    <w:p w14:paraId="5A38353D" w14:textId="31348DA0" w:rsidR="005B0195" w:rsidRDefault="00EA25B2" w:rsidP="00222DB3">
      <w:pPr>
        <w:spacing w:before="120"/>
        <w:jc w:val="center"/>
      </w:pPr>
      <w:r w:rsidRPr="00BB360E">
        <w:t>Table 3. Parameter assumptions for D1T1 D2R links.</w:t>
      </w:r>
    </w:p>
    <w:p w14:paraId="52C779F0" w14:textId="77777777" w:rsidR="008578DA" w:rsidRDefault="008578DA" w:rsidP="00EA25B2">
      <w:pPr>
        <w:jc w:val="both"/>
      </w:pPr>
    </w:p>
    <w:p w14:paraId="05FA5C55" w14:textId="54F4EA25" w:rsidR="00EA25B2" w:rsidRPr="00BB360E" w:rsidRDefault="00EA25B2" w:rsidP="00EA25B2">
      <w:pPr>
        <w:jc w:val="both"/>
      </w:pPr>
      <w:r w:rsidRPr="00BB360E">
        <w:t>Notes:</w:t>
      </w:r>
    </w:p>
    <w:p w14:paraId="70B4CB45" w14:textId="77777777" w:rsidR="00EA25B2" w:rsidRPr="00BB360E" w:rsidRDefault="00EA25B2" w:rsidP="00C20ADC">
      <w:pPr>
        <w:pStyle w:val="ListParagraph"/>
        <w:numPr>
          <w:ilvl w:val="0"/>
          <w:numId w:val="22"/>
        </w:numPr>
        <w:spacing w:after="160" w:line="259" w:lineRule="auto"/>
        <w:ind w:firstLineChars="0"/>
        <w:contextualSpacing/>
        <w:jc w:val="both"/>
      </w:pPr>
      <w:r w:rsidRPr="00BB360E">
        <w:t xml:space="preserve">Transmitting power calculation for type-i and type-ii (a) devices follows </w:t>
      </w:r>
    </w:p>
    <w:p w14:paraId="62E6FE37" w14:textId="77777777" w:rsidR="00EA25B2" w:rsidRPr="00BB360E" w:rsidRDefault="00222DB3" w:rsidP="00EA25B2">
      <w:pPr>
        <w:ind w:left="360"/>
        <w:jc w:val="center"/>
      </w:pPr>
      <m:oMath>
        <m:sSub>
          <m:sSubPr>
            <m:ctrlPr>
              <w:rPr>
                <w:rFonts w:ascii="Cambria Math" w:hAnsi="Cambria Math"/>
              </w:rPr>
            </m:ctrlPr>
          </m:sSubPr>
          <m:e>
            <m:r>
              <w:rPr>
                <w:rFonts w:ascii="Cambria Math" w:hAnsi="Cambria Math"/>
              </w:rPr>
              <m:t>P</m:t>
            </m:r>
          </m:e>
          <m:sub>
            <m:r>
              <m:rPr>
                <m:sty m:val="p"/>
              </m:rPr>
              <w:rPr>
                <w:rFonts w:ascii="Cambria Math" w:hAnsi="Cambria Math"/>
              </w:rPr>
              <m:t>Tx, Dev</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P</m:t>
            </m:r>
          </m:e>
          <m:sub>
            <m:r>
              <m:rPr>
                <m:sty m:val="p"/>
              </m:rPr>
              <w:rPr>
                <w:rFonts w:ascii="Cambria Math" w:hAnsi="Cambria Math"/>
              </w:rPr>
              <m:t>CW, BS</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BS</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path</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polar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 xml:space="preserve">object </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 xml:space="preserve">Dev </m:t>
            </m:r>
          </m:sub>
        </m:sSub>
        <m:r>
          <m:rPr>
            <m:sty m:val="p"/>
          </m:rPr>
          <w:rPr>
            <w:rFonts w:ascii="Cambria Math" w:hAnsi="Cambria Math"/>
          </w:rPr>
          <m:t>-M+</m:t>
        </m:r>
        <m:sSub>
          <m:sSubPr>
            <m:ctrlPr>
              <w:rPr>
                <w:rFonts w:ascii="Cambria Math" w:hAnsi="Cambria Math"/>
                <w:i/>
              </w:rPr>
            </m:ctrlPr>
          </m:sSubPr>
          <m:e>
            <m:r>
              <w:rPr>
                <w:rFonts w:ascii="Cambria Math" w:hAnsi="Cambria Math"/>
              </w:rPr>
              <m:t>G</m:t>
            </m:r>
          </m:e>
          <m:sub>
            <m:r>
              <m:rPr>
                <m:sty m:val="p"/>
              </m:rPr>
              <w:rPr>
                <w:rFonts w:ascii="Cambria Math" w:hAnsi="Cambria Math"/>
              </w:rPr>
              <m:t>reflect</m:t>
            </m:r>
          </m:sub>
        </m:sSub>
      </m:oMath>
      <w:r w:rsidR="00EA25B2" w:rsidRPr="00BB360E">
        <w:t xml:space="preserve">    (Eq. 3)</w:t>
      </w:r>
    </w:p>
    <w:p w14:paraId="52B37067" w14:textId="77777777" w:rsidR="00EA25B2" w:rsidRPr="00BB360E" w:rsidRDefault="00EA25B2" w:rsidP="00C20ADC">
      <w:pPr>
        <w:pStyle w:val="ListParagraph"/>
        <w:numPr>
          <w:ilvl w:val="0"/>
          <w:numId w:val="22"/>
        </w:numPr>
        <w:spacing w:after="160" w:line="259" w:lineRule="auto"/>
        <w:ind w:firstLineChars="0"/>
        <w:contextualSpacing/>
      </w:pPr>
      <w:r w:rsidRPr="00BB360E">
        <w:t>EIRP calculated for the devices follows</w:t>
      </w:r>
    </w:p>
    <w:p w14:paraId="48EBF2E3" w14:textId="77777777" w:rsidR="00EA25B2" w:rsidRPr="00BB360E" w:rsidRDefault="00542DDA" w:rsidP="00EA25B2">
      <w:pPr>
        <w:ind w:left="360"/>
        <w:jc w:val="center"/>
      </w:pPr>
      <m:oMath>
        <m:r>
          <m:rPr>
            <m:sty m:val="p"/>
          </m:rPr>
          <w:rPr>
            <w:rFonts w:ascii="Cambria Math" w:hAnsi="Cambria Math"/>
          </w:rPr>
          <m:t xml:space="preserve">EIRP = </m:t>
        </m:r>
        <m:sSub>
          <m:sSubPr>
            <m:ctrlPr>
              <w:rPr>
                <w:rFonts w:ascii="Cambria Math" w:hAnsi="Cambria Math"/>
              </w:rPr>
            </m:ctrlPr>
          </m:sSubPr>
          <m:e>
            <m:r>
              <w:rPr>
                <w:rFonts w:ascii="Cambria Math" w:hAnsi="Cambria Math"/>
              </w:rPr>
              <m:t>P</m:t>
            </m:r>
          </m:e>
          <m:sub>
            <m:r>
              <m:rPr>
                <m:sty m:val="p"/>
              </m:rPr>
              <w:rPr>
                <w:rFonts w:ascii="Cambria Math" w:hAnsi="Cambria Math"/>
              </w:rPr>
              <m:t>Tx, Dev</m:t>
            </m:r>
          </m:sub>
        </m:sSub>
        <m: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Dev</m:t>
            </m:r>
          </m:sub>
        </m:sSub>
      </m:oMath>
      <w:r w:rsidR="00EA25B2" w:rsidRPr="00BB360E">
        <w:t xml:space="preserve">        (Eq. 4)</w:t>
      </w:r>
    </w:p>
    <w:p w14:paraId="1ED1D5A5" w14:textId="2F20E5EA" w:rsidR="00EA25B2" w:rsidRPr="00BB360E" w:rsidRDefault="00EA25B2" w:rsidP="00C20ADC">
      <w:pPr>
        <w:pStyle w:val="ListParagraph"/>
        <w:numPr>
          <w:ilvl w:val="0"/>
          <w:numId w:val="22"/>
        </w:numPr>
        <w:spacing w:after="160" w:line="259" w:lineRule="auto"/>
        <w:ind w:firstLineChars="0"/>
        <w:contextualSpacing/>
      </w:pPr>
      <w:r w:rsidRPr="00BB360E">
        <w:t xml:space="preserve">MPL for the D2R link is calculated as </w:t>
      </w:r>
    </w:p>
    <w:p w14:paraId="72FDD2FC" w14:textId="77777777" w:rsidR="00EA25B2" w:rsidRPr="00BB360E" w:rsidRDefault="00222DB3" w:rsidP="00EA25B2">
      <w:pPr>
        <w:pStyle w:val="ListParagraph"/>
        <w:ind w:firstLine="480"/>
        <w:jc w:val="center"/>
      </w:pPr>
      <m:oMath>
        <m:sSub>
          <m:sSubPr>
            <m:ctrlPr>
              <w:rPr>
                <w:rFonts w:ascii="Cambria Math" w:hAnsi="Cambria Math"/>
                <w:i/>
              </w:rPr>
            </m:ctrlPr>
          </m:sSubPr>
          <m:e>
            <m:r>
              <m:rPr>
                <m:sty m:val="p"/>
              </m:rPr>
              <w:rPr>
                <w:rFonts w:ascii="Cambria Math" w:hAnsi="Cambria Math"/>
              </w:rPr>
              <m:t>MPL</m:t>
            </m:r>
          </m:e>
          <m:sub>
            <m:r>
              <m:rPr>
                <m:sty m:val="p"/>
              </m:rPr>
              <w:rPr>
                <w:rFonts w:ascii="Cambria Math" w:hAnsi="Cambria Math"/>
              </w:rPr>
              <m:t>D2R</m:t>
            </m:r>
          </m:sub>
        </m:sSub>
        <m:r>
          <w:rPr>
            <w:rFonts w:ascii="Cambria Math" w:hAnsi="Cambria Math"/>
          </w:rPr>
          <m:t xml:space="preserve"> = </m:t>
        </m:r>
        <m:r>
          <m:rPr>
            <m:sty m:val="p"/>
          </m:rPr>
          <w:rPr>
            <w:rFonts w:ascii="Cambria Math" w:hAnsi="Cambria Math"/>
          </w:rPr>
          <m:t>EIRP</m:t>
        </m:r>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object</m:t>
            </m:r>
          </m:sub>
        </m:sSub>
        <m:r>
          <w:rPr>
            <w:rFonts w:ascii="Cambria Math" w:hAnsi="Cambria Math"/>
          </w:rPr>
          <m:t>+</m:t>
        </m:r>
        <m:sSub>
          <m:sSubPr>
            <m:ctrlPr>
              <w:rPr>
                <w:rFonts w:ascii="Cambria Math" w:hAnsi="Cambria Math"/>
                <w:i/>
              </w:rPr>
            </m:ctrlPr>
          </m:sSubPr>
          <m:e>
            <m:r>
              <w:rPr>
                <w:rFonts w:ascii="Cambria Math" w:hAnsi="Cambria Math"/>
              </w:rPr>
              <m:t>G</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polar</m:t>
            </m:r>
          </m:sub>
        </m:sSub>
      </m:oMath>
      <w:r w:rsidR="00EA25B2" w:rsidRPr="00BB360E">
        <w:t xml:space="preserve">        (Eq. 5)</w:t>
      </w:r>
    </w:p>
    <w:p w14:paraId="0E9408A8" w14:textId="02A1DCE0" w:rsidR="00EA25B2" w:rsidRDefault="00EA25B2" w:rsidP="00EA25B2">
      <w:pPr>
        <w:jc w:val="both"/>
      </w:pPr>
      <w:r w:rsidRPr="00BB360E">
        <w:t>In the literature, the calculation of modulation factor of various backscattering modulation schemes is calculated by considering the antenna load impedance switching, with each load impedance state representing a unique power reflection ratio. Depending on the modulation scheme, both high-reflection and low-reflection states may exist. Therefore, the modulation factor is used to quantify the average power reflection ratio across different impedance states, and it typically appears as backscatter loss in the link budget analysis of backscattering communication [</w:t>
      </w:r>
      <w:r w:rsidRPr="00BB360E">
        <w:rPr>
          <w:color w:val="4472C4" w:themeColor="accent1"/>
        </w:rPr>
        <w:t>4</w:t>
      </w:r>
      <w:r w:rsidRPr="00BB360E">
        <w:t xml:space="preserve">]. </w:t>
      </w:r>
    </w:p>
    <w:p w14:paraId="0015FD5D" w14:textId="77777777" w:rsidR="008578DA" w:rsidRPr="00BB360E" w:rsidRDefault="008578DA" w:rsidP="00EA25B2">
      <w:pPr>
        <w:jc w:val="both"/>
        <w:rPr>
          <w:b/>
          <w:bCs/>
        </w:rPr>
      </w:pPr>
    </w:p>
    <w:p w14:paraId="2D109C74" w14:textId="56F0E73D" w:rsidR="00EA25B2" w:rsidRPr="00760F62" w:rsidRDefault="00EA25B2" w:rsidP="00EA25B2">
      <w:pPr>
        <w:jc w:val="both"/>
        <w:rPr>
          <w:color w:val="000000" w:themeColor="text1"/>
        </w:rPr>
      </w:pPr>
      <w:r w:rsidRPr="00BB360E">
        <w:t xml:space="preserve">As for the uplink backscattering communications, two links, i.e., CW2D and D2R, are both involved. When BSs are deployed as CWE or reader with their location being fixed, the distance of CW2D and D2R would be dependent on one another. </w:t>
      </w:r>
      <w:r w:rsidR="000F1983">
        <w:t xml:space="preserve">It is hence necessary to consider </w:t>
      </w:r>
      <w:r w:rsidRPr="00760F62">
        <w:rPr>
          <w:color w:val="000000" w:themeColor="text1"/>
        </w:rPr>
        <w:t xml:space="preserve">both CW2D and D2R links for link budget analysis of the backscattering transmission. </w:t>
      </w:r>
    </w:p>
    <w:p w14:paraId="714EE38E" w14:textId="64191F08" w:rsidR="00EA25B2" w:rsidRPr="00BB360E" w:rsidRDefault="00EA25B2" w:rsidP="00EA25B2">
      <w:pPr>
        <w:jc w:val="both"/>
      </w:pPr>
    </w:p>
    <w:p w14:paraId="7A7CC17C" w14:textId="0886A95D" w:rsidR="00EA25B2" w:rsidRPr="00B154ED" w:rsidRDefault="00EA25B2" w:rsidP="00346474">
      <w:pPr>
        <w:pStyle w:val="Heading2"/>
        <w:numPr>
          <w:ilvl w:val="1"/>
          <w:numId w:val="24"/>
        </w:numPr>
        <w:rPr>
          <w:b/>
          <w:bCs/>
          <w:color w:val="000000" w:themeColor="text1"/>
          <w:sz w:val="28"/>
          <w:szCs w:val="28"/>
        </w:rPr>
      </w:pPr>
      <w:r w:rsidRPr="00B154ED">
        <w:rPr>
          <w:b/>
          <w:bCs/>
          <w:color w:val="000000" w:themeColor="text1"/>
          <w:sz w:val="28"/>
          <w:szCs w:val="28"/>
        </w:rPr>
        <w:lastRenderedPageBreak/>
        <w:t xml:space="preserve">CW2D and D2R for D1T1-A2 </w:t>
      </w:r>
    </w:p>
    <w:p w14:paraId="1F17987A" w14:textId="77777777" w:rsidR="00EA25B2" w:rsidRPr="00BB360E" w:rsidRDefault="00EA25B2" w:rsidP="00EA25B2">
      <w:pPr>
        <w:jc w:val="center"/>
      </w:pPr>
      <w:r w:rsidRPr="00BB360E">
        <w:rPr>
          <w:noProof/>
        </w:rPr>
        <w:drawing>
          <wp:inline distT="0" distB="0" distL="0" distR="0" wp14:anchorId="7544A56E" wp14:editId="658B58A2">
            <wp:extent cx="5731510" cy="2478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478405"/>
                    </a:xfrm>
                    <a:prstGeom prst="rect">
                      <a:avLst/>
                    </a:prstGeom>
                  </pic:spPr>
                </pic:pic>
              </a:graphicData>
            </a:graphic>
          </wp:inline>
        </w:drawing>
      </w:r>
    </w:p>
    <w:p w14:paraId="67413F7C" w14:textId="77777777" w:rsidR="00EA25B2" w:rsidRDefault="00EA25B2" w:rsidP="00EA25B2">
      <w:pPr>
        <w:jc w:val="center"/>
        <w:rPr>
          <w:color w:val="000000" w:themeColor="text1"/>
        </w:rPr>
      </w:pPr>
      <w:r w:rsidRPr="00BB360E">
        <w:rPr>
          <w:color w:val="000000" w:themeColor="text1"/>
        </w:rPr>
        <w:t>Figure 3. Received signal power (dBm) as a function of D2R distance. In D1T1-A2 topology, D2R range is equivalent to CW2D range (InF-DH big hall deployment).</w:t>
      </w:r>
    </w:p>
    <w:p w14:paraId="4BE0653E" w14:textId="77777777" w:rsidR="001F531D" w:rsidRPr="00BB360E" w:rsidRDefault="001F531D" w:rsidP="00EA25B2">
      <w:pPr>
        <w:jc w:val="center"/>
        <w:rPr>
          <w:color w:val="000000" w:themeColor="text1"/>
        </w:rPr>
      </w:pPr>
    </w:p>
    <w:p w14:paraId="4D2D569B" w14:textId="67AF8426" w:rsidR="00EA25B2" w:rsidRDefault="00EA25B2" w:rsidP="00EA25B2">
      <w:pPr>
        <w:jc w:val="both"/>
      </w:pPr>
      <w:r w:rsidRPr="00BB360E">
        <w:t xml:space="preserve">We first analyse the D2R link budget for </w:t>
      </w:r>
      <w:r w:rsidR="003E628E">
        <w:t xml:space="preserve">the </w:t>
      </w:r>
      <w:r w:rsidRPr="00BB360E">
        <w:t xml:space="preserve">D1T1-A2 scenario where the BS that transmits signalling/command also serves the CWE. Clearly, such a topology belongs to </w:t>
      </w:r>
      <w:r w:rsidR="003E628E">
        <w:t xml:space="preserve">the </w:t>
      </w:r>
      <w:r w:rsidRPr="00BB360E">
        <w:t xml:space="preserve">monostatic backscattering category. The CW2D distance and the D2R distances denoted are identical. </w:t>
      </w:r>
    </w:p>
    <w:p w14:paraId="0566389F" w14:textId="77777777" w:rsidR="003E628E" w:rsidRPr="00BB360E" w:rsidRDefault="003E628E" w:rsidP="00EA25B2">
      <w:pPr>
        <w:jc w:val="both"/>
      </w:pPr>
    </w:p>
    <w:p w14:paraId="5F605AFD" w14:textId="77777777" w:rsidR="00EA25B2" w:rsidRPr="00BB360E" w:rsidRDefault="00EA25B2" w:rsidP="00EA25B2">
      <w:pPr>
        <w:jc w:val="both"/>
        <w:rPr>
          <w:color w:val="C00000"/>
        </w:rPr>
      </w:pPr>
      <w:r w:rsidRPr="00BB360E">
        <w:t xml:space="preserve">The indoor factory with big hall setup is assumed and thus, the distance between two adjacent indoor BSs is </w:t>
      </w:r>
      <m:oMath>
        <m:r>
          <w:rPr>
            <w:rFonts w:ascii="Cambria Math" w:hAnsi="Cambria Math"/>
          </w:rPr>
          <m:t>D=50</m:t>
        </m:r>
      </m:oMath>
      <w:r w:rsidRPr="00BB360E">
        <w:t xml:space="preserve"> m. </w:t>
      </w:r>
      <w:r w:rsidRPr="00BB360E">
        <w:rPr>
          <w:color w:val="000000" w:themeColor="text1"/>
        </w:rPr>
        <w:t xml:space="preserve">Like the maximum R2D range, we further assume that the maximum D2R/CW2D range is therefore </w:t>
      </w:r>
      <m:oMath>
        <m:f>
          <m:fPr>
            <m:ctrlPr>
              <w:rPr>
                <w:rFonts w:ascii="Cambria Math" w:hAnsi="Cambria Math"/>
                <w:i/>
                <w:color w:val="000000" w:themeColor="text1"/>
              </w:rPr>
            </m:ctrlPr>
          </m:fPr>
          <m:num>
            <m:rad>
              <m:radPr>
                <m:degHide m:val="1"/>
                <m:ctrlPr>
                  <w:rPr>
                    <w:rFonts w:ascii="Cambria Math" w:hAnsi="Cambria Math"/>
                    <w:i/>
                    <w:color w:val="000000" w:themeColor="text1"/>
                  </w:rPr>
                </m:ctrlPr>
              </m:radPr>
              <m:deg/>
              <m:e>
                <m:r>
                  <w:rPr>
                    <w:rFonts w:ascii="Cambria Math" w:hAnsi="Cambria Math"/>
                    <w:color w:val="000000" w:themeColor="text1"/>
                  </w:rPr>
                  <m:t>2</m:t>
                </m:r>
              </m:e>
            </m:rad>
          </m:num>
          <m:den>
            <m:r>
              <w:rPr>
                <w:rFonts w:ascii="Cambria Math" w:hAnsi="Cambria Math"/>
                <w:color w:val="000000" w:themeColor="text1"/>
              </w:rPr>
              <m:t>2</m:t>
            </m:r>
          </m:den>
        </m:f>
        <m:r>
          <w:rPr>
            <w:rFonts w:ascii="Cambria Math" w:hAnsi="Cambria Math"/>
            <w:color w:val="000000" w:themeColor="text1"/>
          </w:rPr>
          <m:t>D</m:t>
        </m:r>
      </m:oMath>
      <w:r w:rsidRPr="00BB360E">
        <w:rPr>
          <w:color w:val="000000" w:themeColor="text1"/>
        </w:rPr>
        <w:t xml:space="preserve">. </w:t>
      </w:r>
    </w:p>
    <w:p w14:paraId="0E8F7E38" w14:textId="77777777" w:rsidR="00EA25B2" w:rsidRPr="00BB360E" w:rsidRDefault="00EA25B2" w:rsidP="00EA25B2">
      <w:pPr>
        <w:jc w:val="both"/>
      </w:pPr>
      <w:r w:rsidRPr="00BB360E">
        <w:t>Figure 3 illustrates the received signal power of both device (from CW2D link) and BS (from D2R link)</w:t>
      </w:r>
    </w:p>
    <w:p w14:paraId="64DA8783" w14:textId="77777777" w:rsidR="008578DA" w:rsidRPr="00BB360E" w:rsidRDefault="008578DA" w:rsidP="00EA25B2">
      <w:pPr>
        <w:jc w:val="both"/>
      </w:pPr>
    </w:p>
    <w:p w14:paraId="31E9E9CF" w14:textId="1FBF9F58" w:rsidR="00EA25B2" w:rsidRPr="00BB360E" w:rsidRDefault="00EA25B2" w:rsidP="00EA25B2">
      <w:pPr>
        <w:jc w:val="both"/>
      </w:pPr>
      <w:r w:rsidRPr="00BB360E">
        <w:t>Given that the excitation threshold of type</w:t>
      </w:r>
      <w:r w:rsidR="003E628E">
        <w:t xml:space="preserve"> 1</w:t>
      </w:r>
      <w:r w:rsidRPr="00BB360E">
        <w:t xml:space="preserve"> device is </w:t>
      </w:r>
      <m:oMath>
        <m:r>
          <w:rPr>
            <w:rFonts w:ascii="Cambria Math" w:hAnsi="Cambria Math"/>
          </w:rPr>
          <m:t>-25</m:t>
        </m:r>
      </m:oMath>
      <w:r w:rsidRPr="00BB360E">
        <w:t xml:space="preserve"> dBm and the attaching object is made of aluminium, type</w:t>
      </w:r>
      <w:r w:rsidR="003E628E">
        <w:t xml:space="preserve"> 1</w:t>
      </w:r>
      <w:r w:rsidRPr="00BB360E">
        <w:t xml:space="preserve"> devices fail to be activated in some scenarios. Since this observation is </w:t>
      </w:r>
      <w:r w:rsidR="003E628E">
        <w:t>similar</w:t>
      </w:r>
      <w:r w:rsidRPr="00BB360E">
        <w:t xml:space="preserve"> to that observed in R2D, detailed discussion is omitted here. It is perhaps worth noting that the solid black curve in Figure 2(a) should only be seen as reference purposes while in practice the D2R might not exist because of the failure of device activation in the CW2D link. </w:t>
      </w:r>
    </w:p>
    <w:p w14:paraId="053319CA" w14:textId="77777777" w:rsidR="008578DA" w:rsidRPr="00BB360E" w:rsidRDefault="008578DA" w:rsidP="00EA25B2">
      <w:pPr>
        <w:jc w:val="both"/>
      </w:pPr>
    </w:p>
    <w:p w14:paraId="75BB7E44" w14:textId="7C686D9C" w:rsidR="00EA25B2" w:rsidRPr="00BB360E" w:rsidRDefault="00EA25B2" w:rsidP="00EA25B2">
      <w:pPr>
        <w:jc w:val="both"/>
      </w:pPr>
      <w:r w:rsidRPr="00FD7D5D">
        <w:rPr>
          <w:b/>
          <w:bCs/>
        </w:rPr>
        <w:t xml:space="preserve">Observation </w:t>
      </w:r>
      <w:r w:rsidR="00FD7D5D" w:rsidRPr="00FD7D5D">
        <w:rPr>
          <w:b/>
          <w:bCs/>
        </w:rPr>
        <w:t>4</w:t>
      </w:r>
      <w:r w:rsidRPr="00FD7D5D">
        <w:rPr>
          <w:b/>
          <w:bCs/>
        </w:rPr>
        <w:t xml:space="preserve">: Given that the excitation threshold of type-ii (a) device is </w:t>
      </w:r>
      <m:oMath>
        <m:r>
          <m:rPr>
            <m:sty m:val="bi"/>
          </m:rPr>
          <w:rPr>
            <w:rFonts w:ascii="Cambria Math" w:hAnsi="Cambria Math"/>
          </w:rPr>
          <m:t>-40</m:t>
        </m:r>
      </m:oMath>
      <w:r w:rsidRPr="00FD7D5D">
        <w:rPr>
          <w:b/>
          <w:bCs/>
        </w:rPr>
        <w:t xml:space="preserve"> dBm and the reader sensitivity is </w:t>
      </w:r>
      <m:oMath>
        <m:r>
          <m:rPr>
            <m:sty m:val="bi"/>
          </m:rPr>
          <w:rPr>
            <w:rFonts w:ascii="Cambria Math" w:hAnsi="Cambria Math"/>
          </w:rPr>
          <m:t>-115</m:t>
        </m:r>
      </m:oMath>
      <w:r w:rsidRPr="00FD7D5D">
        <w:rPr>
          <w:b/>
          <w:bCs/>
        </w:rPr>
        <w:t xml:space="preserve"> dBm, type</w:t>
      </w:r>
      <w:r w:rsidR="00FD7D5D" w:rsidRPr="00FD7D5D">
        <w:rPr>
          <w:b/>
          <w:bCs/>
        </w:rPr>
        <w:t xml:space="preserve"> 2a</w:t>
      </w:r>
      <w:r w:rsidRPr="00FD7D5D">
        <w:rPr>
          <w:b/>
          <w:bCs/>
        </w:rPr>
        <w:t xml:space="preserve"> device can well support the D2R link in the </w:t>
      </w:r>
      <w:r w:rsidR="00FD7D5D" w:rsidRPr="00FD7D5D">
        <w:rPr>
          <w:b/>
          <w:bCs/>
        </w:rPr>
        <w:t>D1T1-A2 scenario</w:t>
      </w:r>
      <w:r w:rsidRPr="00BB360E">
        <w:t>.</w:t>
      </w:r>
    </w:p>
    <w:p w14:paraId="39C318E7" w14:textId="77777777" w:rsidR="008578DA" w:rsidRPr="00BB360E" w:rsidRDefault="008578DA" w:rsidP="00EA25B2">
      <w:pPr>
        <w:jc w:val="both"/>
      </w:pPr>
    </w:p>
    <w:p w14:paraId="34E7EF44" w14:textId="0E0B54A0" w:rsidR="00EA25B2" w:rsidRPr="00BB360E" w:rsidRDefault="00EA25B2" w:rsidP="00EA25B2">
      <w:pPr>
        <w:jc w:val="both"/>
      </w:pPr>
      <w:r w:rsidRPr="00BB360E">
        <w:rPr>
          <w:color w:val="000000" w:themeColor="text1"/>
        </w:rPr>
        <w:t>D</w:t>
      </w:r>
      <w:r w:rsidRPr="00BB360E">
        <w:t xml:space="preserve">1T1-A2 essentially enables the monostatic backscattering communication where the CW2D and D2R links share the unified distance. Also, the device transmitting power is determined by the CW power received from the CW2D link. There exists the possibility that the device cannot be activated due to insufficient power of CW signal. It can also be observed from Figure 2 (b) that the margin between device excitation threshold and the obtained signal power received by the device </w:t>
      </w:r>
      <w:r w:rsidRPr="00BB360E">
        <w:rPr>
          <w:color w:val="000000" w:themeColor="text1"/>
        </w:rPr>
        <w:t xml:space="preserve">at </w:t>
      </w:r>
      <m:oMath>
        <m:f>
          <m:fPr>
            <m:ctrlPr>
              <w:rPr>
                <w:rFonts w:ascii="Cambria Math" w:hAnsi="Cambria Math"/>
                <w:i/>
                <w:color w:val="000000" w:themeColor="text1"/>
              </w:rPr>
            </m:ctrlPr>
          </m:fPr>
          <m:num>
            <m:rad>
              <m:radPr>
                <m:degHide m:val="1"/>
                <m:ctrlPr>
                  <w:rPr>
                    <w:rFonts w:ascii="Cambria Math" w:hAnsi="Cambria Math"/>
                    <w:i/>
                    <w:color w:val="000000" w:themeColor="text1"/>
                  </w:rPr>
                </m:ctrlPr>
              </m:radPr>
              <m:deg/>
              <m:e>
                <m:r>
                  <w:rPr>
                    <w:rFonts w:ascii="Cambria Math" w:hAnsi="Cambria Math"/>
                    <w:color w:val="000000" w:themeColor="text1"/>
                  </w:rPr>
                  <m:t>2</m:t>
                </m:r>
              </m:e>
            </m:rad>
          </m:num>
          <m:den>
            <m:r>
              <w:rPr>
                <w:rFonts w:ascii="Cambria Math" w:hAnsi="Cambria Math"/>
                <w:color w:val="000000" w:themeColor="text1"/>
              </w:rPr>
              <m:t>2</m:t>
            </m:r>
          </m:den>
        </m:f>
        <m:r>
          <w:rPr>
            <w:rFonts w:ascii="Cambria Math" w:hAnsi="Cambria Math"/>
            <w:color w:val="000000" w:themeColor="text1"/>
          </w:rPr>
          <m:t xml:space="preserve">D </m:t>
        </m:r>
      </m:oMath>
      <w:r w:rsidRPr="00BB360E">
        <w:t xml:space="preserve">in CW2D link range </w:t>
      </w:r>
      <w:r w:rsidRPr="00BB360E">
        <w:lastRenderedPageBreak/>
        <w:t xml:space="preserve">(Approx. </w:t>
      </w:r>
      <m:oMath>
        <m:r>
          <w:rPr>
            <w:rFonts w:ascii="Cambria Math" w:hAnsi="Cambria Math"/>
          </w:rPr>
          <m:t>0.5</m:t>
        </m:r>
      </m:oMath>
      <w:r w:rsidRPr="00BB360E">
        <w:t xml:space="preserve"> dB) is much smaller than that between the reader sensitivity and the obtained signal power received by the reader (Approx. </w:t>
      </w:r>
      <m:oMath>
        <m:r>
          <w:rPr>
            <w:rFonts w:ascii="Cambria Math" w:hAnsi="Cambria Math"/>
          </w:rPr>
          <m:t>7</m:t>
        </m:r>
      </m:oMath>
      <w:r w:rsidRPr="00BB360E">
        <w:t xml:space="preserve"> dB). </w:t>
      </w:r>
    </w:p>
    <w:p w14:paraId="73317AB7" w14:textId="77777777" w:rsidR="008578DA" w:rsidRPr="00BB360E" w:rsidRDefault="008578DA" w:rsidP="00EA25B2">
      <w:pPr>
        <w:jc w:val="both"/>
      </w:pPr>
    </w:p>
    <w:p w14:paraId="40D2C138" w14:textId="482A06F8" w:rsidR="00EA25B2" w:rsidRPr="00BB360E" w:rsidRDefault="003819D3" w:rsidP="00EA25B2">
      <w:pPr>
        <w:jc w:val="both"/>
      </w:pPr>
      <w:r>
        <w:t xml:space="preserve">For the D1T1-A2 </w:t>
      </w:r>
      <w:r w:rsidR="00C35D75">
        <w:t>scenario</w:t>
      </w:r>
      <w:r w:rsidR="003F5D44">
        <w:t xml:space="preserve">, the </w:t>
      </w:r>
      <w:r w:rsidR="003F5D44" w:rsidRPr="00BB360E">
        <w:t xml:space="preserve">CW2D link </w:t>
      </w:r>
      <w:r w:rsidR="003F5D44">
        <w:t>is</w:t>
      </w:r>
      <w:r w:rsidR="003F5D44" w:rsidRPr="00BB360E">
        <w:t xml:space="preserve"> the link that dominates the overall coverage</w:t>
      </w:r>
      <w:r w:rsidR="003F5D44">
        <w:t>. The supported MPLs are:</w:t>
      </w:r>
    </w:p>
    <w:p w14:paraId="704B600D" w14:textId="2ECDFD09" w:rsidR="00EA25B2" w:rsidRPr="00BB360E" w:rsidRDefault="00EA25B2" w:rsidP="00C20ADC">
      <w:pPr>
        <w:pStyle w:val="ListParagraph"/>
        <w:numPr>
          <w:ilvl w:val="0"/>
          <w:numId w:val="21"/>
        </w:numPr>
        <w:spacing w:after="160" w:line="259" w:lineRule="auto"/>
        <w:ind w:firstLineChars="0"/>
        <w:contextualSpacing/>
        <w:jc w:val="both"/>
      </w:pPr>
      <w:r w:rsidRPr="00BB360E">
        <w:t>Type</w:t>
      </w:r>
      <w:r w:rsidR="003F5D44">
        <w:rPr>
          <w:lang w:val="en-GB"/>
        </w:rPr>
        <w:t xml:space="preserve"> 1</w:t>
      </w:r>
      <w:r w:rsidRPr="00BB360E">
        <w:t xml:space="preserve"> device: </w:t>
      </w:r>
      <m:oMath>
        <m:r>
          <w:rPr>
            <w:rFonts w:ascii="Cambria Math" w:hAnsi="Cambria Math"/>
          </w:rPr>
          <m:t>[52.6, 62.1]</m:t>
        </m:r>
      </m:oMath>
      <w:r w:rsidRPr="00BB360E">
        <w:t xml:space="preserve"> dB for MPL depending on the material of the attaching object.</w:t>
      </w:r>
    </w:p>
    <w:p w14:paraId="16B0C358" w14:textId="72C7BAC3" w:rsidR="00EA25B2" w:rsidRPr="00BB360E" w:rsidRDefault="00EA25B2" w:rsidP="00C20ADC">
      <w:pPr>
        <w:pStyle w:val="ListParagraph"/>
        <w:numPr>
          <w:ilvl w:val="0"/>
          <w:numId w:val="21"/>
        </w:numPr>
        <w:spacing w:after="160" w:line="259" w:lineRule="auto"/>
        <w:ind w:firstLineChars="0"/>
        <w:contextualSpacing/>
        <w:jc w:val="both"/>
      </w:pPr>
      <w:r w:rsidRPr="00BB360E">
        <w:t>Type</w:t>
      </w:r>
      <w:r w:rsidR="003F5D44">
        <w:rPr>
          <w:lang w:val="en-GB"/>
        </w:rPr>
        <w:t xml:space="preserve"> 2a</w:t>
      </w:r>
      <w:r w:rsidRPr="00BB360E">
        <w:t xml:space="preserve"> device: </w:t>
      </w:r>
      <m:oMath>
        <m:r>
          <w:rPr>
            <w:rFonts w:ascii="Cambria Math" w:hAnsi="Cambria Math"/>
          </w:rPr>
          <m:t>[67.6, 77.1]</m:t>
        </m:r>
      </m:oMath>
      <w:r w:rsidRPr="00BB360E">
        <w:t xml:space="preserve"> dB for MPL depending on the material of the attaching object.</w:t>
      </w:r>
    </w:p>
    <w:p w14:paraId="1902F892" w14:textId="77777777" w:rsidR="00EA25B2" w:rsidRPr="00BB360E" w:rsidRDefault="00EA25B2" w:rsidP="00EA25B2">
      <w:pPr>
        <w:jc w:val="both"/>
      </w:pPr>
    </w:p>
    <w:p w14:paraId="2206C1F2" w14:textId="513FA7B6" w:rsidR="00EA25B2" w:rsidRPr="00760F62" w:rsidRDefault="00EA25B2" w:rsidP="00346474">
      <w:pPr>
        <w:pStyle w:val="Heading2"/>
        <w:numPr>
          <w:ilvl w:val="1"/>
          <w:numId w:val="24"/>
        </w:numPr>
        <w:rPr>
          <w:b/>
          <w:color w:val="000000" w:themeColor="text1"/>
          <w:sz w:val="28"/>
          <w:szCs w:val="28"/>
        </w:rPr>
      </w:pPr>
      <w:r w:rsidRPr="00760F62">
        <w:rPr>
          <w:b/>
          <w:color w:val="000000" w:themeColor="text1"/>
          <w:sz w:val="28"/>
          <w:szCs w:val="28"/>
        </w:rPr>
        <w:t xml:space="preserve">CW2D and D2R in D1T1-A1 with fixed location of BSs </w:t>
      </w:r>
    </w:p>
    <w:p w14:paraId="784B30A2" w14:textId="77777777" w:rsidR="00EA25B2" w:rsidRPr="00BB360E" w:rsidRDefault="00EA25B2" w:rsidP="00EA25B2">
      <w:pPr>
        <w:jc w:val="center"/>
      </w:pPr>
      <w:r w:rsidRPr="00BB360E">
        <w:rPr>
          <w:noProof/>
        </w:rPr>
        <w:drawing>
          <wp:inline distT="0" distB="0" distL="0" distR="0" wp14:anchorId="2DD41971" wp14:editId="3CE0CEAE">
            <wp:extent cx="5731510" cy="252285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522855"/>
                    </a:xfrm>
                    <a:prstGeom prst="rect">
                      <a:avLst/>
                    </a:prstGeom>
                  </pic:spPr>
                </pic:pic>
              </a:graphicData>
            </a:graphic>
          </wp:inline>
        </w:drawing>
      </w:r>
    </w:p>
    <w:p w14:paraId="7795C13E" w14:textId="77777777" w:rsidR="00EA25B2" w:rsidRDefault="00EA25B2" w:rsidP="00EA25B2">
      <w:pPr>
        <w:jc w:val="center"/>
      </w:pPr>
      <w:r w:rsidRPr="00BB360E">
        <w:t>Figure 4. Received signal power (dBm) as a function of D2R distance with D1T1-A1 topology.</w:t>
      </w:r>
    </w:p>
    <w:p w14:paraId="544CFFCB" w14:textId="77777777" w:rsidR="00DF1385" w:rsidRPr="00BB360E" w:rsidRDefault="00DF1385" w:rsidP="00EA25B2">
      <w:pPr>
        <w:jc w:val="center"/>
        <w:rPr>
          <w:color w:val="FF0000"/>
        </w:rPr>
      </w:pPr>
    </w:p>
    <w:p w14:paraId="4723543F" w14:textId="77777777" w:rsidR="00EA25B2" w:rsidRPr="00BB360E" w:rsidRDefault="00EA25B2" w:rsidP="00EA25B2">
      <w:pPr>
        <w:jc w:val="center"/>
      </w:pPr>
      <w:r w:rsidRPr="00BB360E">
        <w:rPr>
          <w:noProof/>
        </w:rPr>
        <w:drawing>
          <wp:inline distT="0" distB="0" distL="0" distR="0" wp14:anchorId="1765BFC2" wp14:editId="357A2116">
            <wp:extent cx="2089435" cy="1698679"/>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10883" cy="1716116"/>
                    </a:xfrm>
                    <a:prstGeom prst="rect">
                      <a:avLst/>
                    </a:prstGeom>
                  </pic:spPr>
                </pic:pic>
              </a:graphicData>
            </a:graphic>
          </wp:inline>
        </w:drawing>
      </w:r>
    </w:p>
    <w:p w14:paraId="3163BDF1" w14:textId="77777777" w:rsidR="00EA25B2" w:rsidRPr="00BB360E" w:rsidRDefault="00EA25B2" w:rsidP="00EA25B2">
      <w:pPr>
        <w:jc w:val="center"/>
      </w:pPr>
      <w:r w:rsidRPr="00BB360E">
        <w:t xml:space="preserve">Figure 5. Graphic illustration on the derivation of </w:t>
      </w:r>
      <m:oMath>
        <m:sSub>
          <m:sSubPr>
            <m:ctrlPr>
              <w:rPr>
                <w:rFonts w:ascii="Cambria Math" w:hAnsi="Cambria Math"/>
                <w:i/>
              </w:rPr>
            </m:ctrlPr>
          </m:sSubPr>
          <m:e>
            <m:r>
              <w:rPr>
                <w:rFonts w:ascii="Cambria Math" w:hAnsi="Cambria Math"/>
              </w:rPr>
              <m:t>d</m:t>
            </m:r>
          </m:e>
          <m:sub>
            <m:r>
              <m:rPr>
                <m:sty m:val="p"/>
              </m:rPr>
              <w:rPr>
                <w:rFonts w:ascii="Cambria Math" w:hAnsi="Cambria Math"/>
              </w:rPr>
              <m:t>CW2D</m:t>
            </m:r>
          </m:sub>
        </m:sSub>
      </m:oMath>
      <w:r w:rsidRPr="00BB360E">
        <w:t xml:space="preserve"> and </w:t>
      </w:r>
      <m:oMath>
        <m:sSub>
          <m:sSubPr>
            <m:ctrlPr>
              <w:rPr>
                <w:rFonts w:ascii="Cambria Math" w:hAnsi="Cambria Math"/>
                <w:i/>
              </w:rPr>
            </m:ctrlPr>
          </m:sSubPr>
          <m:e>
            <m:r>
              <w:rPr>
                <w:rFonts w:ascii="Cambria Math" w:hAnsi="Cambria Math"/>
              </w:rPr>
              <m:t>d</m:t>
            </m:r>
          </m:e>
          <m:sub>
            <m:r>
              <m:rPr>
                <m:sty m:val="p"/>
              </m:rPr>
              <w:rPr>
                <w:rFonts w:ascii="Cambria Math" w:hAnsi="Cambria Math"/>
              </w:rPr>
              <m:t>D2R</m:t>
            </m:r>
          </m:sub>
        </m:sSub>
      </m:oMath>
      <w:r w:rsidRPr="00BB360E">
        <w:t>.</w:t>
      </w:r>
    </w:p>
    <w:p w14:paraId="0AD3899B" w14:textId="77777777" w:rsidR="00DF1385" w:rsidRPr="00BB360E" w:rsidRDefault="00DF1385" w:rsidP="00EA25B2">
      <w:pPr>
        <w:jc w:val="center"/>
      </w:pPr>
    </w:p>
    <w:p w14:paraId="5A7AA436" w14:textId="6B006B34" w:rsidR="00EA25B2" w:rsidRPr="00BB360E" w:rsidRDefault="00EA25B2" w:rsidP="00EA25B2">
      <w:pPr>
        <w:jc w:val="both"/>
      </w:pPr>
      <w:r w:rsidRPr="00BB360E">
        <w:t xml:space="preserve">In </w:t>
      </w:r>
      <w:r w:rsidR="00270844">
        <w:t xml:space="preserve">the </w:t>
      </w:r>
      <w:r w:rsidRPr="00BB360E">
        <w:t xml:space="preserve">D1T1-A1 </w:t>
      </w:r>
      <w:r w:rsidR="00270844">
        <w:t>sc</w:t>
      </w:r>
      <w:r w:rsidR="008A4B60">
        <w:t>enario</w:t>
      </w:r>
      <w:r w:rsidRPr="00BB360E">
        <w:t>, both the CWE and the reader are indoor BSs whose deployment is likely to follow the specification discussed in Table XXX in [</w:t>
      </w:r>
      <w:r w:rsidRPr="00BB360E">
        <w:rPr>
          <w:color w:val="FF0000"/>
        </w:rPr>
        <w:t>3</w:t>
      </w:r>
      <w:r w:rsidRPr="00BB360E">
        <w:t xml:space="preserve">]. Given that the A-IoT device location is sufficiently accurate and known by the network, two nearest BSs can be scheduled to serve as the CWE and reader, respectively. Effectively, the CW2D (denoted by </w:t>
      </w:r>
      <m:oMath>
        <m:sSub>
          <m:sSubPr>
            <m:ctrlPr>
              <w:rPr>
                <w:rFonts w:ascii="Cambria Math" w:hAnsi="Cambria Math"/>
                <w:i/>
              </w:rPr>
            </m:ctrlPr>
          </m:sSubPr>
          <m:e>
            <m:r>
              <w:rPr>
                <w:rFonts w:ascii="Cambria Math" w:hAnsi="Cambria Math"/>
              </w:rPr>
              <m:t>d</m:t>
            </m:r>
          </m:e>
          <m:sub>
            <m:r>
              <m:rPr>
                <m:sty m:val="p"/>
              </m:rPr>
              <w:rPr>
                <w:rFonts w:ascii="Cambria Math" w:hAnsi="Cambria Math"/>
              </w:rPr>
              <m:t>CW2D</m:t>
            </m:r>
          </m:sub>
        </m:sSub>
      </m:oMath>
      <w:r w:rsidRPr="00BB360E">
        <w:t xml:space="preserve">) distance and D2R (denoted by </w:t>
      </w:r>
      <m:oMath>
        <m:sSub>
          <m:sSubPr>
            <m:ctrlPr>
              <w:rPr>
                <w:rFonts w:ascii="Cambria Math" w:hAnsi="Cambria Math"/>
                <w:i/>
              </w:rPr>
            </m:ctrlPr>
          </m:sSubPr>
          <m:e>
            <m:r>
              <w:rPr>
                <w:rFonts w:ascii="Cambria Math" w:hAnsi="Cambria Math"/>
              </w:rPr>
              <m:t>d</m:t>
            </m:r>
          </m:e>
          <m:sub>
            <m:r>
              <m:rPr>
                <m:sty m:val="p"/>
              </m:rPr>
              <w:rPr>
                <w:rFonts w:ascii="Cambria Math" w:hAnsi="Cambria Math"/>
              </w:rPr>
              <m:t>D2R</m:t>
            </m:r>
          </m:sub>
        </m:sSub>
      </m:oMath>
      <w:r w:rsidRPr="00BB360E">
        <w:t>)  distance</w:t>
      </w:r>
      <w:r w:rsidRPr="00BB360E">
        <w:rPr>
          <w:b/>
          <w:bCs/>
        </w:rPr>
        <w:t xml:space="preserve"> </w:t>
      </w:r>
      <w:r w:rsidRPr="00BB360E">
        <w:t>could be derived by</w:t>
      </w:r>
    </w:p>
    <w:p w14:paraId="2DFA8768" w14:textId="77777777" w:rsidR="00EA25B2" w:rsidRPr="00BB360E" w:rsidRDefault="00222DB3" w:rsidP="00EA25B2">
      <w:pPr>
        <w:jc w:val="center"/>
      </w:pPr>
      <m:oMath>
        <m:sSub>
          <m:sSubPr>
            <m:ctrlPr>
              <w:rPr>
                <w:rFonts w:ascii="Cambria Math" w:hAnsi="Cambria Math"/>
                <w:i/>
              </w:rPr>
            </m:ctrlPr>
          </m:sSubPr>
          <m:e>
            <m:r>
              <w:rPr>
                <w:rFonts w:ascii="Cambria Math" w:hAnsi="Cambria Math"/>
              </w:rPr>
              <m:t>d</m:t>
            </m:r>
          </m:e>
          <m:sub>
            <m:r>
              <m:rPr>
                <m:sty m:val="p"/>
              </m:rPr>
              <w:rPr>
                <w:rFonts w:ascii="Cambria Math" w:hAnsi="Cambria Math"/>
              </w:rPr>
              <m:t>CW2D</m:t>
            </m:r>
          </m:sub>
        </m:sSub>
        <m:r>
          <m:rPr>
            <m:sty m:val="bi"/>
          </m:rPr>
          <w:rPr>
            <w:rFonts w:ascii="Cambria Math" w:hAnsi="Cambria Math"/>
          </w:rPr>
          <m:t xml:space="preserve"> = </m:t>
        </m:r>
        <m:rad>
          <m:radPr>
            <m:degHide m:val="1"/>
            <m:ctrlPr>
              <w:rPr>
                <w:rFonts w:ascii="Cambria Math" w:hAnsi="Cambria Math"/>
                <w:b/>
                <w:bCs/>
                <w:i/>
              </w:rPr>
            </m:ctrlPr>
          </m:radPr>
          <m:deg/>
          <m:e>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e>
        </m:rad>
      </m:oMath>
      <w:r w:rsidR="00EA25B2" w:rsidRPr="00BB360E">
        <w:rPr>
          <w:b/>
          <w:bCs/>
        </w:rPr>
        <w:t xml:space="preserve">     </w:t>
      </w:r>
      <w:r w:rsidR="00EA25B2" w:rsidRPr="00BB360E">
        <w:t>(Eq. 6a)</w:t>
      </w:r>
    </w:p>
    <w:p w14:paraId="7F2967CF" w14:textId="77777777" w:rsidR="00EA25B2" w:rsidRPr="00BB360E" w:rsidRDefault="00222DB3" w:rsidP="00EA25B2">
      <w:pPr>
        <w:jc w:val="center"/>
      </w:pPr>
      <m:oMath>
        <m:sSub>
          <m:sSubPr>
            <m:ctrlPr>
              <w:rPr>
                <w:rFonts w:ascii="Cambria Math" w:hAnsi="Cambria Math"/>
                <w:i/>
              </w:rPr>
            </m:ctrlPr>
          </m:sSubPr>
          <m:e>
            <m:r>
              <w:rPr>
                <w:rFonts w:ascii="Cambria Math" w:hAnsi="Cambria Math"/>
              </w:rPr>
              <m:t>d</m:t>
            </m:r>
          </m:e>
          <m:sub>
            <m:r>
              <m:rPr>
                <m:sty m:val="p"/>
              </m:rPr>
              <w:rPr>
                <w:rFonts w:ascii="Cambria Math" w:hAnsi="Cambria Math"/>
              </w:rPr>
              <m:t>D2R</m:t>
            </m:r>
          </m:sub>
        </m:sSub>
        <m:r>
          <m:rPr>
            <m:sty m:val="bi"/>
          </m:rPr>
          <w:rPr>
            <w:rFonts w:ascii="Cambria Math" w:hAnsi="Cambria Math"/>
          </w:rPr>
          <m:t xml:space="preserve"> = </m:t>
        </m:r>
        <m:rad>
          <m:radPr>
            <m:degHide m:val="1"/>
            <m:ctrlPr>
              <w:rPr>
                <w:rFonts w:ascii="Cambria Math" w:hAnsi="Cambria Math"/>
                <w:b/>
                <w:bCs/>
                <w:i/>
              </w:rPr>
            </m:ctrlPr>
          </m:radPr>
          <m:deg/>
          <m:e>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e>
        </m:rad>
      </m:oMath>
      <w:r w:rsidR="00EA25B2" w:rsidRPr="00BB360E">
        <w:rPr>
          <w:b/>
          <w:bCs/>
        </w:rPr>
        <w:t xml:space="preserve">     </w:t>
      </w:r>
      <w:r w:rsidR="00EA25B2" w:rsidRPr="00BB360E">
        <w:t>(Eq. 6b)</w:t>
      </w:r>
    </w:p>
    <w:p w14:paraId="728077E4" w14:textId="76B8ADF0" w:rsidR="00EA25B2" w:rsidRDefault="00EA25B2" w:rsidP="00EA25B2">
      <w:pPr>
        <w:jc w:val="both"/>
      </w:pPr>
      <w:r w:rsidRPr="00BB360E">
        <w:t xml:space="preserve">And a graphic illustration is shown in Figure </w:t>
      </w:r>
      <w:r w:rsidR="00720046">
        <w:t>5</w:t>
      </w:r>
      <w:r w:rsidRPr="00BB360E">
        <w:t xml:space="preserve">. </w:t>
      </w:r>
    </w:p>
    <w:p w14:paraId="2BBBE756" w14:textId="77777777" w:rsidR="00720046" w:rsidRPr="00BB360E" w:rsidRDefault="00720046" w:rsidP="00EA25B2">
      <w:pPr>
        <w:jc w:val="both"/>
        <w:rPr>
          <w:b/>
          <w:bCs/>
        </w:rPr>
      </w:pPr>
    </w:p>
    <w:p w14:paraId="030615C3" w14:textId="1F1DE731" w:rsidR="00EA25B2" w:rsidRDefault="00EA25B2" w:rsidP="00EA25B2">
      <w:pPr>
        <w:tabs>
          <w:tab w:val="left" w:pos="5846"/>
        </w:tabs>
        <w:jc w:val="both"/>
      </w:pPr>
      <w:r w:rsidRPr="00BB360E">
        <w:t>Figure 4 illustrates for both type</w:t>
      </w:r>
      <w:r w:rsidR="005F092A">
        <w:t xml:space="preserve"> 1</w:t>
      </w:r>
      <w:r w:rsidRPr="00BB360E">
        <w:t xml:space="preserve"> and type</w:t>
      </w:r>
      <w:r w:rsidR="005F092A">
        <w:t xml:space="preserve"> 2a</w:t>
      </w:r>
      <w:r w:rsidRPr="00BB360E">
        <w:t xml:space="preserve"> devices, the device-received signal power, and the reader-received signal power as a function of CW2D range. Note that the D2R range is calculated according to Eq. 6b. It is observed from Figure </w:t>
      </w:r>
      <w:r w:rsidR="0017272E">
        <w:t>4</w:t>
      </w:r>
      <w:r w:rsidRPr="00BB360E">
        <w:t xml:space="preserve"> (a) that type</w:t>
      </w:r>
      <w:r w:rsidR="0017272E">
        <w:t xml:space="preserve"> 1</w:t>
      </w:r>
      <w:r w:rsidRPr="00BB360E">
        <w:t xml:space="preserve"> devices may fail to be activated in the CW2D link if the attaching object is aluminium slab; it may also encounter limited effective range if the attaching object is cardboard sheet, i.e., effective range less than 30 m. While it is possible to guarantee the device excitation by swapping the CWE and reader. Note that a similar approach also applies to the type</w:t>
      </w:r>
      <w:r w:rsidR="00EF5F2A">
        <w:t xml:space="preserve"> 2a</w:t>
      </w:r>
      <w:r w:rsidRPr="00BB360E">
        <w:t xml:space="preserve"> device.</w:t>
      </w:r>
    </w:p>
    <w:p w14:paraId="467FD031" w14:textId="77777777" w:rsidR="00EF5F2A" w:rsidRPr="00BB360E" w:rsidRDefault="00EF5F2A" w:rsidP="00EA25B2">
      <w:pPr>
        <w:tabs>
          <w:tab w:val="left" w:pos="5846"/>
        </w:tabs>
        <w:jc w:val="both"/>
      </w:pPr>
    </w:p>
    <w:p w14:paraId="1B7D83A7" w14:textId="7030D9B7" w:rsidR="00EA25B2" w:rsidRPr="00BB360E" w:rsidRDefault="00EA25B2" w:rsidP="00EA25B2">
      <w:pPr>
        <w:tabs>
          <w:tab w:val="left" w:pos="5846"/>
        </w:tabs>
        <w:jc w:val="both"/>
      </w:pPr>
      <w:r w:rsidRPr="00BB360E">
        <w:t>On the other hand, the type</w:t>
      </w:r>
      <w:r w:rsidR="00EF5F2A">
        <w:t xml:space="preserve"> 2a</w:t>
      </w:r>
      <w:r w:rsidRPr="00BB360E">
        <w:t xml:space="preserve"> device can be activated with CW2D link range up to </w:t>
      </w:r>
      <m:oMath>
        <m:r>
          <w:rPr>
            <w:rFonts w:ascii="Cambria Math" w:hAnsi="Cambria Math"/>
          </w:rPr>
          <m:t>40</m:t>
        </m:r>
      </m:oMath>
      <w:r w:rsidRPr="00BB360E">
        <w:t xml:space="preserve"> m, according to Figure 4(b). We note that the practical range is expected to be smaller because of the multipath/shadowing fade margin. </w:t>
      </w:r>
    </w:p>
    <w:p w14:paraId="13306F40" w14:textId="77777777" w:rsidR="00BF25A0" w:rsidRPr="00BB360E" w:rsidRDefault="00BF25A0" w:rsidP="00EA25B2">
      <w:pPr>
        <w:tabs>
          <w:tab w:val="left" w:pos="5846"/>
        </w:tabs>
        <w:jc w:val="both"/>
      </w:pPr>
    </w:p>
    <w:p w14:paraId="39305EC9" w14:textId="5CBEC407" w:rsidR="00EA25B2" w:rsidRPr="00BB360E" w:rsidRDefault="007124D4" w:rsidP="00EA25B2">
      <w:pPr>
        <w:tabs>
          <w:tab w:val="left" w:pos="5846"/>
        </w:tabs>
        <w:jc w:val="both"/>
      </w:pPr>
      <w:r>
        <w:rPr>
          <w:color w:val="000000" w:themeColor="text1"/>
        </w:rPr>
        <w:t>For scenario D1T</w:t>
      </w:r>
      <w:r w:rsidR="000427D0">
        <w:rPr>
          <w:color w:val="000000" w:themeColor="text1"/>
        </w:rPr>
        <w:t>1-A</w:t>
      </w:r>
      <w:r w:rsidR="00720FAF">
        <w:rPr>
          <w:color w:val="000000" w:themeColor="text1"/>
        </w:rPr>
        <w:t>1</w:t>
      </w:r>
      <w:r w:rsidR="000427D0">
        <w:rPr>
          <w:color w:val="000000" w:themeColor="text1"/>
        </w:rPr>
        <w:t>, it is advantag</w:t>
      </w:r>
      <w:r w:rsidR="0007602E">
        <w:rPr>
          <w:color w:val="000000" w:themeColor="text1"/>
        </w:rPr>
        <w:t>eous to</w:t>
      </w:r>
      <w:r w:rsidR="00EA25B2" w:rsidRPr="00BB360E">
        <w:t xml:space="preserve"> </w:t>
      </w:r>
      <w:r w:rsidR="0007602E">
        <w:t>use</w:t>
      </w:r>
      <w:r w:rsidR="00EA25B2" w:rsidRPr="00BB360E">
        <w:t xml:space="preserve"> the BS that is the nearest to the device as CWE for the sake of successful device excitation. </w:t>
      </w:r>
    </w:p>
    <w:p w14:paraId="3F79CA3F" w14:textId="77777777" w:rsidR="00BF25A0" w:rsidRPr="00BB360E" w:rsidRDefault="00BF25A0" w:rsidP="00EA25B2">
      <w:pPr>
        <w:tabs>
          <w:tab w:val="left" w:pos="5846"/>
        </w:tabs>
        <w:jc w:val="both"/>
      </w:pPr>
    </w:p>
    <w:p w14:paraId="15C95453" w14:textId="2CFB5ED4" w:rsidR="00EA25B2" w:rsidRPr="00B154ED" w:rsidRDefault="00EA25B2" w:rsidP="00346474">
      <w:pPr>
        <w:pStyle w:val="Heading2"/>
        <w:numPr>
          <w:ilvl w:val="1"/>
          <w:numId w:val="24"/>
        </w:numPr>
        <w:rPr>
          <w:b/>
          <w:bCs/>
          <w:color w:val="000000" w:themeColor="text1"/>
          <w:sz w:val="28"/>
          <w:szCs w:val="28"/>
        </w:rPr>
      </w:pPr>
      <w:r w:rsidRPr="00B154ED">
        <w:rPr>
          <w:b/>
          <w:bCs/>
          <w:color w:val="000000" w:themeColor="text1"/>
          <w:sz w:val="28"/>
          <w:szCs w:val="28"/>
        </w:rPr>
        <w:t xml:space="preserve">CW2D and D2R for D1T1-B </w:t>
      </w:r>
    </w:p>
    <w:p w14:paraId="67B4BAA8" w14:textId="60E05484" w:rsidR="00EA25B2" w:rsidRDefault="00EA25B2" w:rsidP="00EA25B2">
      <w:pPr>
        <w:jc w:val="both"/>
      </w:pPr>
      <w:r w:rsidRPr="00BB360E">
        <w:t>Recal</w:t>
      </w:r>
      <w:r w:rsidR="00720FAF">
        <w:t>l</w:t>
      </w:r>
      <w:r w:rsidRPr="00BB360E">
        <w:t xml:space="preserve"> that the difference between D1T1-A1 and D1T1-B in terms of their CW2D and D2R links is based on whether the external CWE exists or not, e.g., </w:t>
      </w:r>
      <w:r w:rsidR="00720FAF">
        <w:t>on whether a</w:t>
      </w:r>
      <w:r w:rsidRPr="00BB360E">
        <w:t xml:space="preserve"> UE </w:t>
      </w:r>
      <w:r w:rsidR="00720FAF">
        <w:t>serves</w:t>
      </w:r>
      <w:r w:rsidRPr="00BB360E">
        <w:t xml:space="preserve"> as the external CWE. Deploying UE as CWE may introduce extra degrees of freedom of adjusting the CW2D link distance and could potentially improve the probability of successful device activation. </w:t>
      </w:r>
    </w:p>
    <w:p w14:paraId="09AB4475" w14:textId="77777777" w:rsidR="00720FAF" w:rsidRPr="00BB360E" w:rsidRDefault="00720FAF" w:rsidP="00EA25B2">
      <w:pPr>
        <w:jc w:val="both"/>
      </w:pPr>
    </w:p>
    <w:p w14:paraId="1B69BC50" w14:textId="77777777" w:rsidR="00EA25B2" w:rsidRDefault="00EA25B2" w:rsidP="00EA25B2">
      <w:pPr>
        <w:jc w:val="both"/>
      </w:pPr>
      <w:r w:rsidRPr="00BB360E">
        <w:t xml:space="preserve">Therefore, we conduct the analysis based on the consideration that UE is deployed as the external CWE. Correspondingly, </w:t>
      </w:r>
      <m:oMath>
        <m:r>
          <w:rPr>
            <w:rFonts w:ascii="Cambria Math" w:hAnsi="Cambria Math"/>
          </w:rPr>
          <m:t>23</m:t>
        </m:r>
      </m:oMath>
      <w:r w:rsidRPr="00BB360E">
        <w:t xml:space="preserve"> dBm CW transmission power and </w:t>
      </w:r>
      <m:oMath>
        <m:r>
          <w:rPr>
            <w:rFonts w:ascii="Cambria Math" w:hAnsi="Cambria Math"/>
          </w:rPr>
          <m:t>2</m:t>
        </m:r>
      </m:oMath>
      <w:r w:rsidRPr="00BB360E">
        <w:t xml:space="preserve"> dBi UE antenna gain is assumed. Also, we consider the CW2D range as </w:t>
      </w:r>
      <m:oMath>
        <m:r>
          <w:rPr>
            <w:rFonts w:ascii="Cambria Math" w:hAnsi="Cambria Math"/>
          </w:rPr>
          <m:t>5</m:t>
        </m:r>
      </m:oMath>
      <w:r w:rsidRPr="00BB360E">
        <w:t xml:space="preserve"> m or </w:t>
      </w:r>
      <m:oMath>
        <m:r>
          <w:rPr>
            <w:rFonts w:ascii="Cambria Math" w:hAnsi="Cambria Math"/>
          </w:rPr>
          <m:t>10</m:t>
        </m:r>
      </m:oMath>
      <w:r w:rsidRPr="00BB360E">
        <w:t xml:space="preserve"> m for illustration purpose.</w:t>
      </w:r>
    </w:p>
    <w:p w14:paraId="542C92D3" w14:textId="77777777" w:rsidR="00720FAF" w:rsidRPr="00BB360E" w:rsidRDefault="00720FAF" w:rsidP="00EA25B2">
      <w:pPr>
        <w:jc w:val="both"/>
      </w:pPr>
    </w:p>
    <w:p w14:paraId="426A1783" w14:textId="08EFF5E6" w:rsidR="00EA25B2" w:rsidRPr="00BB360E" w:rsidRDefault="00EA25B2" w:rsidP="00EA25B2">
      <w:pPr>
        <w:jc w:val="both"/>
      </w:pPr>
    </w:p>
    <w:p w14:paraId="3299CF94" w14:textId="77777777" w:rsidR="00084CB6" w:rsidRPr="00BB360E" w:rsidRDefault="00084CB6" w:rsidP="00EA25B2">
      <w:pPr>
        <w:jc w:val="both"/>
      </w:pPr>
    </w:p>
    <w:tbl>
      <w:tblPr>
        <w:tblStyle w:val="TableGrid"/>
        <w:tblW w:w="0" w:type="auto"/>
        <w:tblInd w:w="1555" w:type="dxa"/>
        <w:tblLayout w:type="fixed"/>
        <w:tblLook w:val="04A0" w:firstRow="1" w:lastRow="0" w:firstColumn="1" w:lastColumn="0" w:noHBand="0" w:noVBand="1"/>
      </w:tblPr>
      <w:tblGrid>
        <w:gridCol w:w="2213"/>
        <w:gridCol w:w="2323"/>
        <w:gridCol w:w="2268"/>
      </w:tblGrid>
      <w:tr w:rsidR="00EA25B2" w:rsidRPr="00BB360E" w14:paraId="3099C35E" w14:textId="77777777" w:rsidTr="00222DB3">
        <w:trPr>
          <w:trHeight w:val="269"/>
        </w:trPr>
        <w:tc>
          <w:tcPr>
            <w:tcW w:w="2213" w:type="dxa"/>
            <w:vMerge w:val="restart"/>
          </w:tcPr>
          <w:p w14:paraId="7B14DD3E" w14:textId="77777777" w:rsidR="00EA25B2" w:rsidRPr="00BB360E" w:rsidRDefault="00EA25B2">
            <w:pPr>
              <w:spacing w:before="120"/>
              <w:jc w:val="center"/>
              <w:rPr>
                <w:b/>
                <w:bCs/>
              </w:rPr>
            </w:pPr>
            <w:r w:rsidRPr="00BB360E">
              <w:rPr>
                <w:b/>
                <w:bCs/>
              </w:rPr>
              <w:t>CW2D range (m)</w:t>
            </w:r>
          </w:p>
        </w:tc>
        <w:tc>
          <w:tcPr>
            <w:tcW w:w="4591" w:type="dxa"/>
            <w:gridSpan w:val="2"/>
          </w:tcPr>
          <w:p w14:paraId="6A789FDD" w14:textId="77777777" w:rsidR="00EA25B2" w:rsidRPr="00BB360E" w:rsidRDefault="00EA25B2">
            <w:pPr>
              <w:jc w:val="center"/>
            </w:pPr>
            <w:r w:rsidRPr="00BB360E">
              <w:rPr>
                <w:b/>
                <w:bCs/>
              </w:rPr>
              <w:t>Device Rx. power (dBm)</w:t>
            </w:r>
          </w:p>
        </w:tc>
      </w:tr>
      <w:tr w:rsidR="00EA25B2" w:rsidRPr="00BB360E" w14:paraId="753C7E69" w14:textId="77777777" w:rsidTr="00222DB3">
        <w:trPr>
          <w:trHeight w:val="269"/>
        </w:trPr>
        <w:tc>
          <w:tcPr>
            <w:tcW w:w="2213" w:type="dxa"/>
            <w:vMerge/>
          </w:tcPr>
          <w:p w14:paraId="15E8BE13" w14:textId="77777777" w:rsidR="00EA25B2" w:rsidRPr="00BB360E" w:rsidRDefault="00EA25B2">
            <w:pPr>
              <w:jc w:val="center"/>
            </w:pPr>
          </w:p>
        </w:tc>
        <w:tc>
          <w:tcPr>
            <w:tcW w:w="2323" w:type="dxa"/>
          </w:tcPr>
          <w:p w14:paraId="1CD098F9" w14:textId="77777777" w:rsidR="00EA25B2" w:rsidRPr="00BB360E" w:rsidRDefault="00EA25B2">
            <w:pPr>
              <w:jc w:val="center"/>
              <w:rPr>
                <w:b/>
                <w:bCs/>
              </w:rPr>
            </w:pPr>
            <w:r w:rsidRPr="00BB360E">
              <w:rPr>
                <w:b/>
                <w:bCs/>
              </w:rPr>
              <w:t>Cardboard</w:t>
            </w:r>
          </w:p>
        </w:tc>
        <w:tc>
          <w:tcPr>
            <w:tcW w:w="2268" w:type="dxa"/>
          </w:tcPr>
          <w:p w14:paraId="09895988" w14:textId="77777777" w:rsidR="00EA25B2" w:rsidRPr="00BB360E" w:rsidRDefault="00EA25B2">
            <w:pPr>
              <w:jc w:val="center"/>
              <w:rPr>
                <w:b/>
                <w:bCs/>
              </w:rPr>
            </w:pPr>
            <w:r w:rsidRPr="00BB360E">
              <w:rPr>
                <w:b/>
                <w:bCs/>
              </w:rPr>
              <w:t>Aluminium</w:t>
            </w:r>
          </w:p>
        </w:tc>
      </w:tr>
      <w:tr w:rsidR="00EA25B2" w:rsidRPr="00BB360E" w14:paraId="1AA73177" w14:textId="77777777" w:rsidTr="00222DB3">
        <w:trPr>
          <w:trHeight w:val="269"/>
        </w:trPr>
        <w:tc>
          <w:tcPr>
            <w:tcW w:w="2213" w:type="dxa"/>
          </w:tcPr>
          <w:p w14:paraId="2CCA7157" w14:textId="77777777" w:rsidR="00EA25B2" w:rsidRPr="00BB360E" w:rsidRDefault="00542DDA">
            <w:pPr>
              <w:jc w:val="center"/>
            </w:pPr>
            <m:oMathPara>
              <m:oMath>
                <m:r>
                  <w:rPr>
                    <w:rFonts w:ascii="Cambria Math" w:hAnsi="Cambria Math"/>
                  </w:rPr>
                  <m:t>5</m:t>
                </m:r>
              </m:oMath>
            </m:oMathPara>
          </w:p>
        </w:tc>
        <w:tc>
          <w:tcPr>
            <w:tcW w:w="2323" w:type="dxa"/>
          </w:tcPr>
          <w:p w14:paraId="6D6ADF5C" w14:textId="77777777" w:rsidR="00EA25B2" w:rsidRPr="00BB360E" w:rsidRDefault="00542DDA">
            <w:pPr>
              <w:jc w:val="center"/>
            </w:pPr>
            <m:oMathPara>
              <m:oMath>
                <m:r>
                  <w:rPr>
                    <w:rFonts w:ascii="Cambria Math" w:hAnsi="Cambria Math"/>
                  </w:rPr>
                  <m:t>-27.5</m:t>
                </m:r>
              </m:oMath>
            </m:oMathPara>
          </w:p>
        </w:tc>
        <w:tc>
          <w:tcPr>
            <w:tcW w:w="2268" w:type="dxa"/>
          </w:tcPr>
          <w:p w14:paraId="3807B493" w14:textId="77777777" w:rsidR="00EA25B2" w:rsidRPr="00BB360E" w:rsidRDefault="00542DDA">
            <w:pPr>
              <w:jc w:val="center"/>
            </w:pPr>
            <m:oMathPara>
              <m:oMath>
                <m:r>
                  <w:rPr>
                    <w:rFonts w:ascii="Cambria Math" w:hAnsi="Cambria Math"/>
                  </w:rPr>
                  <m:t>-37</m:t>
                </m:r>
              </m:oMath>
            </m:oMathPara>
          </w:p>
        </w:tc>
      </w:tr>
      <w:tr w:rsidR="00EA25B2" w:rsidRPr="00BB360E" w14:paraId="70A1AEE6" w14:textId="77777777" w:rsidTr="00222DB3">
        <w:trPr>
          <w:trHeight w:val="269"/>
        </w:trPr>
        <w:tc>
          <w:tcPr>
            <w:tcW w:w="2213" w:type="dxa"/>
          </w:tcPr>
          <w:p w14:paraId="1B214F57" w14:textId="77777777" w:rsidR="00EA25B2" w:rsidRPr="00BB360E" w:rsidRDefault="00542DDA">
            <w:pPr>
              <w:jc w:val="center"/>
            </w:pPr>
            <m:oMathPara>
              <m:oMath>
                <m:r>
                  <w:rPr>
                    <w:rFonts w:ascii="Cambria Math" w:hAnsi="Cambria Math"/>
                  </w:rPr>
                  <m:t>10</m:t>
                </m:r>
              </m:oMath>
            </m:oMathPara>
          </w:p>
        </w:tc>
        <w:tc>
          <w:tcPr>
            <w:tcW w:w="2323" w:type="dxa"/>
          </w:tcPr>
          <w:p w14:paraId="67ED7D6B" w14:textId="77777777" w:rsidR="00EA25B2" w:rsidRPr="00BB360E" w:rsidRDefault="00542DDA">
            <w:pPr>
              <w:jc w:val="center"/>
            </w:pPr>
            <m:oMathPara>
              <m:oMath>
                <m:r>
                  <w:rPr>
                    <w:rFonts w:ascii="Cambria Math" w:hAnsi="Cambria Math"/>
                  </w:rPr>
                  <m:t>-31</m:t>
                </m:r>
              </m:oMath>
            </m:oMathPara>
          </w:p>
        </w:tc>
        <w:tc>
          <w:tcPr>
            <w:tcW w:w="2268" w:type="dxa"/>
          </w:tcPr>
          <w:p w14:paraId="1CF15049" w14:textId="77777777" w:rsidR="00EA25B2" w:rsidRPr="00BB360E" w:rsidRDefault="00542DDA">
            <w:pPr>
              <w:jc w:val="center"/>
            </w:pPr>
            <m:oMathPara>
              <m:oMath>
                <m:r>
                  <w:rPr>
                    <w:rFonts w:ascii="Cambria Math" w:hAnsi="Cambria Math"/>
                  </w:rPr>
                  <m:t>-40.5</m:t>
                </m:r>
              </m:oMath>
            </m:oMathPara>
          </w:p>
        </w:tc>
      </w:tr>
    </w:tbl>
    <w:p w14:paraId="05BF981B" w14:textId="6F3A12EB" w:rsidR="00EA25B2" w:rsidRPr="00BB360E" w:rsidRDefault="00EA25B2" w:rsidP="00222DB3">
      <w:pPr>
        <w:spacing w:before="120"/>
        <w:jc w:val="center"/>
      </w:pPr>
      <w:r w:rsidRPr="00BB360E">
        <w:t xml:space="preserve">Table 4. </w:t>
      </w:r>
      <w:r w:rsidR="007548B9">
        <w:t>Device</w:t>
      </w:r>
      <w:r w:rsidRPr="00BB360E">
        <w:t xml:space="preserve"> received signal power derived with different CW2D ranges.</w:t>
      </w:r>
    </w:p>
    <w:p w14:paraId="4B88497A" w14:textId="77777777" w:rsidR="00084CB6" w:rsidRPr="00BB360E" w:rsidRDefault="00084CB6" w:rsidP="00EA25B2">
      <w:pPr>
        <w:jc w:val="center"/>
      </w:pPr>
    </w:p>
    <w:p w14:paraId="223B02AD" w14:textId="57754564" w:rsidR="00EA25B2" w:rsidRPr="00BB360E" w:rsidRDefault="00EA25B2" w:rsidP="00EA25B2">
      <w:pPr>
        <w:jc w:val="both"/>
      </w:pPr>
      <w:r w:rsidRPr="00BB360E">
        <w:t xml:space="preserve">Given the CW2D range, </w:t>
      </w:r>
      <m:oMath>
        <m:r>
          <w:rPr>
            <w:rFonts w:ascii="Cambria Math" w:hAnsi="Cambria Math"/>
          </w:rPr>
          <m:t>5</m:t>
        </m:r>
      </m:oMath>
      <w:r w:rsidRPr="00BB360E">
        <w:t xml:space="preserve"> m or </w:t>
      </w:r>
      <m:oMath>
        <m:r>
          <w:rPr>
            <w:rFonts w:ascii="Cambria Math" w:hAnsi="Cambria Math"/>
          </w:rPr>
          <m:t>10</m:t>
        </m:r>
      </m:oMath>
      <w:r w:rsidRPr="00BB360E">
        <w:t xml:space="preserve"> m, Table 4 illustrates the resulting </w:t>
      </w:r>
      <w:r w:rsidR="007548B9">
        <w:t>device</w:t>
      </w:r>
      <w:r w:rsidRPr="00BB360E">
        <w:t xml:space="preserve"> received signal with different attaching object. The received signal strengths are less than for the D1T1-A scenarios discussed previously partly because the UE transmit power (23 dBm) is less than the gNB transmit power (33 dBm). We consider LoS link for all cases because of the short distance. We find that it is challenging to activate type</w:t>
      </w:r>
      <w:r w:rsidR="0076564A">
        <w:t xml:space="preserve"> 1</w:t>
      </w:r>
      <w:r w:rsidRPr="00BB360E">
        <w:t xml:space="preserve"> devices with CW2D range </w:t>
      </w:r>
      <m:oMath>
        <m:r>
          <w:rPr>
            <w:rFonts w:ascii="Cambria Math" w:hAnsi="Cambria Math"/>
          </w:rPr>
          <m:t>5</m:t>
        </m:r>
      </m:oMath>
      <w:r w:rsidRPr="00BB360E">
        <w:t xml:space="preserve"> m, regardless of the type of attaching object. Type</w:t>
      </w:r>
      <w:r w:rsidR="0076564A">
        <w:t xml:space="preserve"> 2a</w:t>
      </w:r>
      <w:r w:rsidRPr="00BB360E">
        <w:t xml:space="preserve"> devices could be activated with </w:t>
      </w:r>
      <w:r w:rsidR="007C7060">
        <w:t xml:space="preserve">the </w:t>
      </w:r>
      <w:r w:rsidRPr="00BB360E">
        <w:t xml:space="preserve">CW2D range being up to </w:t>
      </w:r>
      <m:oMath>
        <m:r>
          <w:rPr>
            <w:rFonts w:ascii="Cambria Math" w:hAnsi="Cambria Math"/>
          </w:rPr>
          <m:t>10</m:t>
        </m:r>
      </m:oMath>
      <w:r w:rsidRPr="00BB360E">
        <w:t xml:space="preserve"> m. </w:t>
      </w:r>
    </w:p>
    <w:p w14:paraId="4CE26989" w14:textId="54DC6434" w:rsidR="00EA25B2" w:rsidRPr="00BB360E" w:rsidRDefault="003C07C1" w:rsidP="00EA25B2">
      <w:pPr>
        <w:jc w:val="both"/>
        <w:rPr>
          <w:color w:val="000000" w:themeColor="text1"/>
        </w:rPr>
      </w:pPr>
      <w:r>
        <w:rPr>
          <w:b/>
          <w:bCs/>
          <w:color w:val="000000" w:themeColor="text1"/>
        </w:rPr>
        <w:lastRenderedPageBreak/>
        <w:t>Observation 5</w:t>
      </w:r>
      <w:r w:rsidRPr="00EC7E3D">
        <w:rPr>
          <w:b/>
          <w:bCs/>
          <w:color w:val="000000" w:themeColor="text1"/>
        </w:rPr>
        <w:t>: T</w:t>
      </w:r>
      <w:r w:rsidR="00EA25B2" w:rsidRPr="00EC7E3D">
        <w:rPr>
          <w:b/>
          <w:bCs/>
          <w:color w:val="000000" w:themeColor="text1"/>
        </w:rPr>
        <w:t>ype</w:t>
      </w:r>
      <w:r w:rsidRPr="00EC7E3D">
        <w:rPr>
          <w:b/>
          <w:bCs/>
          <w:color w:val="000000" w:themeColor="text1"/>
        </w:rPr>
        <w:t xml:space="preserve"> 2a</w:t>
      </w:r>
      <w:r w:rsidR="00EA25B2" w:rsidRPr="00EC7E3D">
        <w:rPr>
          <w:b/>
          <w:bCs/>
          <w:color w:val="000000" w:themeColor="text1"/>
        </w:rPr>
        <w:t xml:space="preserve"> device</w:t>
      </w:r>
      <w:r w:rsidRPr="00EC7E3D">
        <w:rPr>
          <w:b/>
          <w:bCs/>
          <w:color w:val="000000" w:themeColor="text1"/>
        </w:rPr>
        <w:t>s</w:t>
      </w:r>
      <w:r w:rsidR="003F72DA" w:rsidRPr="00EC7E3D">
        <w:rPr>
          <w:b/>
          <w:bCs/>
          <w:color w:val="000000" w:themeColor="text1"/>
        </w:rPr>
        <w:t xml:space="preserve"> are required</w:t>
      </w:r>
      <w:r w:rsidR="00EA25B2" w:rsidRPr="00EC7E3D">
        <w:rPr>
          <w:b/>
          <w:bCs/>
          <w:color w:val="000000" w:themeColor="text1"/>
        </w:rPr>
        <w:t xml:space="preserve"> for D1T1-B</w:t>
      </w:r>
      <w:r w:rsidR="003F72DA" w:rsidRPr="00EC7E3D">
        <w:rPr>
          <w:b/>
          <w:bCs/>
          <w:color w:val="000000" w:themeColor="text1"/>
        </w:rPr>
        <w:t>,</w:t>
      </w:r>
      <w:r w:rsidR="00EA25B2" w:rsidRPr="00EC7E3D">
        <w:rPr>
          <w:b/>
          <w:bCs/>
          <w:color w:val="000000" w:themeColor="text1"/>
        </w:rPr>
        <w:t xml:space="preserve"> where the UE is deployed as external CWE</w:t>
      </w:r>
      <w:r w:rsidR="003F72DA" w:rsidRPr="00EC7E3D">
        <w:rPr>
          <w:b/>
          <w:bCs/>
          <w:color w:val="000000" w:themeColor="text1"/>
        </w:rPr>
        <w:t>,</w:t>
      </w:r>
      <w:r w:rsidR="00EA25B2" w:rsidRPr="00EC7E3D">
        <w:rPr>
          <w:b/>
          <w:bCs/>
          <w:color w:val="000000" w:themeColor="text1"/>
        </w:rPr>
        <w:t xml:space="preserve"> </w:t>
      </w:r>
      <w:r w:rsidR="00EB45DE" w:rsidRPr="00EC7E3D">
        <w:rPr>
          <w:b/>
          <w:bCs/>
          <w:color w:val="000000" w:themeColor="text1"/>
        </w:rPr>
        <w:t xml:space="preserve">in order to </w:t>
      </w:r>
      <w:r w:rsidR="00EC7E3D" w:rsidRPr="00EC7E3D">
        <w:rPr>
          <w:b/>
          <w:bCs/>
          <w:color w:val="000000" w:themeColor="text1"/>
        </w:rPr>
        <w:t>achieve</w:t>
      </w:r>
      <w:r w:rsidR="00EA25B2" w:rsidRPr="00EC7E3D">
        <w:rPr>
          <w:b/>
          <w:bCs/>
          <w:color w:val="000000" w:themeColor="text1"/>
        </w:rPr>
        <w:t xml:space="preserve"> successful device excitation.</w:t>
      </w:r>
      <w:r w:rsidR="00EA25B2" w:rsidRPr="00BB360E">
        <w:rPr>
          <w:color w:val="000000" w:themeColor="text1"/>
        </w:rPr>
        <w:t xml:space="preserve"> </w:t>
      </w:r>
    </w:p>
    <w:p w14:paraId="24F77993" w14:textId="77777777" w:rsidR="00EA25B2" w:rsidRPr="00BB360E" w:rsidRDefault="00EA25B2" w:rsidP="00EA25B2">
      <w:pPr>
        <w:jc w:val="center"/>
      </w:pPr>
      <w:r w:rsidRPr="00BB360E">
        <w:rPr>
          <w:noProof/>
        </w:rPr>
        <w:drawing>
          <wp:inline distT="0" distB="0" distL="0" distR="0" wp14:anchorId="295417E5" wp14:editId="1A2569EF">
            <wp:extent cx="2772964" cy="2203072"/>
            <wp:effectExtent l="0" t="0" r="8890" b="6985"/>
            <wp:docPr id="2" name="Picture 2" descr="A graph of a graph with a blue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graph with a blue line&#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2788896" cy="2215730"/>
                    </a:xfrm>
                    <a:prstGeom prst="rect">
                      <a:avLst/>
                    </a:prstGeom>
                  </pic:spPr>
                </pic:pic>
              </a:graphicData>
            </a:graphic>
          </wp:inline>
        </w:drawing>
      </w:r>
    </w:p>
    <w:p w14:paraId="44FFB6D9" w14:textId="649A4B65" w:rsidR="00EA25B2" w:rsidRDefault="00EA25B2" w:rsidP="00EA25B2">
      <w:pPr>
        <w:jc w:val="center"/>
      </w:pPr>
      <w:r w:rsidRPr="00BB360E">
        <w:t>Figure 6. Reader received signal power as a function of D2R distance with D1T1-B topology for type</w:t>
      </w:r>
      <w:r w:rsidR="002B494D">
        <w:t xml:space="preserve"> 2a</w:t>
      </w:r>
      <w:r w:rsidRPr="00BB360E">
        <w:t xml:space="preserve"> device. </w:t>
      </w:r>
    </w:p>
    <w:p w14:paraId="73A0431C" w14:textId="77777777" w:rsidR="005274CF" w:rsidRPr="00BB360E" w:rsidRDefault="005274CF" w:rsidP="00EA25B2">
      <w:pPr>
        <w:jc w:val="center"/>
      </w:pPr>
    </w:p>
    <w:p w14:paraId="21167063" w14:textId="1FF87CDE" w:rsidR="00EA25B2" w:rsidRPr="00BB360E" w:rsidRDefault="00EA25B2" w:rsidP="002835EB">
      <w:pPr>
        <w:jc w:val="both"/>
      </w:pPr>
      <w:r w:rsidRPr="00BB360E">
        <w:t>We only consider type</w:t>
      </w:r>
      <w:r w:rsidR="00EC7E3D">
        <w:t xml:space="preserve"> 2a</w:t>
      </w:r>
      <w:r w:rsidRPr="00BB360E">
        <w:t xml:space="preserve"> device for the D2R link budget analysis</w:t>
      </w:r>
      <w:r w:rsidR="004D6F6B">
        <w:t xml:space="preserve"> in the figure a</w:t>
      </w:r>
      <w:r w:rsidR="002B494D">
        <w:t>bove</w:t>
      </w:r>
      <w:r w:rsidR="002835EB">
        <w:t xml:space="preserve"> (the type 1 device receives insufficient power for excitation)</w:t>
      </w:r>
      <w:r w:rsidRPr="00BB360E">
        <w:t xml:space="preserve">; the CW2D range is assumed to be </w:t>
      </w:r>
      <m:oMath>
        <m:r>
          <w:rPr>
            <w:rFonts w:ascii="Cambria Math" w:hAnsi="Cambria Math"/>
          </w:rPr>
          <m:t>10</m:t>
        </m:r>
      </m:oMath>
      <w:r w:rsidRPr="00BB360E">
        <w:t xml:space="preserve"> m and the corresponding device received signal power is </w:t>
      </w:r>
      <m:oMath>
        <m:r>
          <w:rPr>
            <w:rFonts w:ascii="Cambria Math" w:hAnsi="Cambria Math"/>
          </w:rPr>
          <m:t>-40</m:t>
        </m:r>
      </m:oMath>
      <w:r w:rsidRPr="00BB360E">
        <w:t xml:space="preserve"> dBm. As illustrated in Figure 6, it is observed that the considered scenarios can be well supported by the device, given that the reader BS is properly selected with D2R range being no greater than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r>
          <w:rPr>
            <w:rFonts w:ascii="Cambria Math" w:hAnsi="Cambria Math"/>
          </w:rPr>
          <m:t>D</m:t>
        </m:r>
      </m:oMath>
      <w:r w:rsidRPr="00BB360E">
        <w:t xml:space="preserve">. </w:t>
      </w:r>
    </w:p>
    <w:p w14:paraId="74E2395D" w14:textId="2AF1C23D" w:rsidR="00EA25B2" w:rsidRPr="00760F62" w:rsidRDefault="00EA25B2" w:rsidP="00346474">
      <w:pPr>
        <w:pStyle w:val="Heading2"/>
        <w:numPr>
          <w:ilvl w:val="1"/>
          <w:numId w:val="24"/>
        </w:numPr>
        <w:rPr>
          <w:b/>
          <w:color w:val="000000" w:themeColor="text1"/>
          <w:sz w:val="28"/>
          <w:szCs w:val="28"/>
        </w:rPr>
      </w:pPr>
      <w:r w:rsidRPr="00760F62">
        <w:rPr>
          <w:b/>
          <w:color w:val="000000" w:themeColor="text1"/>
          <w:sz w:val="28"/>
          <w:szCs w:val="28"/>
        </w:rPr>
        <w:t xml:space="preserve">D2R for D1T1-C </w:t>
      </w:r>
    </w:p>
    <w:p w14:paraId="25BF95DB" w14:textId="77777777" w:rsidR="00EA25B2" w:rsidRPr="00BB360E" w:rsidRDefault="00EA25B2" w:rsidP="00EA25B2">
      <w:pPr>
        <w:jc w:val="center"/>
        <w:rPr>
          <w:color w:val="000000" w:themeColor="text1"/>
        </w:rPr>
      </w:pPr>
      <w:r w:rsidRPr="00BB360E">
        <w:rPr>
          <w:noProof/>
          <w:color w:val="000000" w:themeColor="text1"/>
        </w:rPr>
        <w:drawing>
          <wp:inline distT="0" distB="0" distL="0" distR="0" wp14:anchorId="285DC314" wp14:editId="30119428">
            <wp:extent cx="3008836" cy="2526809"/>
            <wp:effectExtent l="0" t="0" r="1270" b="6985"/>
            <wp:docPr id="11" name="Picture 11" descr="A graph of a paper with a blue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paper with a blue line&#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3029731" cy="2544357"/>
                    </a:xfrm>
                    <a:prstGeom prst="rect">
                      <a:avLst/>
                    </a:prstGeom>
                  </pic:spPr>
                </pic:pic>
              </a:graphicData>
            </a:graphic>
          </wp:inline>
        </w:drawing>
      </w:r>
    </w:p>
    <w:p w14:paraId="41E4A9C8" w14:textId="08C29896" w:rsidR="00EA25B2" w:rsidRPr="00BB360E" w:rsidRDefault="00EA25B2" w:rsidP="00EA25B2">
      <w:pPr>
        <w:jc w:val="center"/>
        <w:rPr>
          <w:color w:val="000000" w:themeColor="text1"/>
        </w:rPr>
      </w:pPr>
      <w:r w:rsidRPr="00BB360E">
        <w:rPr>
          <w:color w:val="000000" w:themeColor="text1"/>
        </w:rPr>
        <w:t xml:space="preserve">Figure 7. </w:t>
      </w:r>
      <w:r w:rsidRPr="00BB360E">
        <w:t>Reader received signal power as a function of D2R distance with D1T1-C topology for type</w:t>
      </w:r>
      <w:r w:rsidR="009219D3">
        <w:t>2b</w:t>
      </w:r>
      <w:r w:rsidRPr="00BB360E">
        <w:t xml:space="preserve"> device.</w:t>
      </w:r>
    </w:p>
    <w:p w14:paraId="7C523279" w14:textId="695993ED" w:rsidR="00EA25B2" w:rsidRDefault="00EA25B2" w:rsidP="00EA25B2">
      <w:pPr>
        <w:jc w:val="both"/>
        <w:rPr>
          <w:color w:val="000000" w:themeColor="text1"/>
        </w:rPr>
      </w:pPr>
      <w:r w:rsidRPr="00BB360E">
        <w:rPr>
          <w:color w:val="000000" w:themeColor="text1"/>
        </w:rPr>
        <w:t>Figure 7 illustrates the received signal power of the reader</w:t>
      </w:r>
      <w:r w:rsidR="009219D3">
        <w:rPr>
          <w:color w:val="000000" w:themeColor="text1"/>
        </w:rPr>
        <w:t xml:space="preserve"> for the type 2b device in the D1T1-C scenario</w:t>
      </w:r>
      <w:r w:rsidRPr="00BB360E">
        <w:rPr>
          <w:color w:val="000000" w:themeColor="text1"/>
        </w:rPr>
        <w:t xml:space="preserve">. Given the maximum D2R range as </w:t>
      </w:r>
      <m:oMath>
        <m:f>
          <m:fPr>
            <m:ctrlPr>
              <w:rPr>
                <w:rFonts w:ascii="Cambria Math" w:hAnsi="Cambria Math"/>
                <w:i/>
                <w:color w:val="000000" w:themeColor="text1"/>
              </w:rPr>
            </m:ctrlPr>
          </m:fPr>
          <m:num>
            <m:rad>
              <m:radPr>
                <m:degHide m:val="1"/>
                <m:ctrlPr>
                  <w:rPr>
                    <w:rFonts w:ascii="Cambria Math" w:hAnsi="Cambria Math"/>
                    <w:i/>
                    <w:color w:val="000000" w:themeColor="text1"/>
                  </w:rPr>
                </m:ctrlPr>
              </m:radPr>
              <m:deg/>
              <m:e>
                <m:r>
                  <w:rPr>
                    <w:rFonts w:ascii="Cambria Math" w:hAnsi="Cambria Math"/>
                    <w:color w:val="000000" w:themeColor="text1"/>
                  </w:rPr>
                  <m:t>2</m:t>
                </m:r>
              </m:e>
            </m:rad>
          </m:num>
          <m:den>
            <m:r>
              <w:rPr>
                <w:rFonts w:ascii="Cambria Math" w:hAnsi="Cambria Math"/>
                <w:color w:val="000000" w:themeColor="text1"/>
              </w:rPr>
              <m:t>2</m:t>
            </m:r>
          </m:den>
        </m:f>
        <m:r>
          <w:rPr>
            <w:rFonts w:ascii="Cambria Math" w:hAnsi="Cambria Math"/>
            <w:color w:val="000000" w:themeColor="text1"/>
          </w:rPr>
          <m:t>D</m:t>
        </m:r>
      </m:oMath>
      <w:r w:rsidRPr="00BB360E">
        <w:rPr>
          <w:color w:val="000000" w:themeColor="text1"/>
        </w:rPr>
        <w:t xml:space="preserve">, the considered scenarios are well supported. There is Approx. </w:t>
      </w:r>
      <m:oMath>
        <m:r>
          <w:rPr>
            <w:rFonts w:ascii="Cambria Math" w:hAnsi="Cambria Math"/>
            <w:color w:val="000000" w:themeColor="text1"/>
          </w:rPr>
          <w:lastRenderedPageBreak/>
          <m:t>30</m:t>
        </m:r>
      </m:oMath>
      <w:r w:rsidRPr="00BB360E">
        <w:rPr>
          <w:color w:val="000000" w:themeColor="text1"/>
        </w:rPr>
        <w:t xml:space="preserve"> dB margin remain</w:t>
      </w:r>
      <w:r w:rsidR="007C239D">
        <w:rPr>
          <w:color w:val="000000" w:themeColor="text1"/>
        </w:rPr>
        <w:t>ing</w:t>
      </w:r>
      <w:r w:rsidRPr="00BB360E">
        <w:rPr>
          <w:color w:val="000000" w:themeColor="text1"/>
        </w:rPr>
        <w:t xml:space="preserve"> which means the transmitting power of the device could be further reduced. E.g., -20 dBm, to achieve less power consumption.</w:t>
      </w:r>
    </w:p>
    <w:p w14:paraId="1C91852F" w14:textId="77777777" w:rsidR="007C239D" w:rsidRDefault="007C239D" w:rsidP="00EA25B2">
      <w:pPr>
        <w:jc w:val="both"/>
        <w:rPr>
          <w:color w:val="000000" w:themeColor="text1"/>
        </w:rPr>
      </w:pPr>
    </w:p>
    <w:p w14:paraId="5F162CD1" w14:textId="7C4DF002" w:rsidR="002E7CF5" w:rsidRPr="00BB360E" w:rsidRDefault="002E7CF5" w:rsidP="002E7CF5">
      <w:pPr>
        <w:jc w:val="both"/>
        <w:rPr>
          <w:color w:val="000000" w:themeColor="text1"/>
        </w:rPr>
      </w:pPr>
      <w:r>
        <w:rPr>
          <w:b/>
          <w:bCs/>
          <w:color w:val="000000" w:themeColor="text1"/>
        </w:rPr>
        <w:t>Observation 6</w:t>
      </w:r>
      <w:r w:rsidRPr="00EC7E3D">
        <w:rPr>
          <w:b/>
          <w:bCs/>
          <w:color w:val="000000" w:themeColor="text1"/>
        </w:rPr>
        <w:t>: Type 2</w:t>
      </w:r>
      <w:r>
        <w:rPr>
          <w:b/>
          <w:bCs/>
          <w:color w:val="000000" w:themeColor="text1"/>
        </w:rPr>
        <w:t>b</w:t>
      </w:r>
      <w:r w:rsidRPr="00EC7E3D">
        <w:rPr>
          <w:b/>
          <w:bCs/>
          <w:color w:val="000000" w:themeColor="text1"/>
        </w:rPr>
        <w:t xml:space="preserve"> devices are required </w:t>
      </w:r>
      <w:r>
        <w:rPr>
          <w:b/>
          <w:bCs/>
          <w:color w:val="000000" w:themeColor="text1"/>
        </w:rPr>
        <w:t xml:space="preserve">easily achieve the link budget for </w:t>
      </w:r>
      <w:r w:rsidR="00BD5219">
        <w:rPr>
          <w:b/>
          <w:bCs/>
          <w:color w:val="000000" w:themeColor="text1"/>
        </w:rPr>
        <w:t>the D1T1-C scenario</w:t>
      </w:r>
      <w:r w:rsidRPr="00EC7E3D">
        <w:rPr>
          <w:b/>
          <w:bCs/>
          <w:color w:val="000000" w:themeColor="text1"/>
        </w:rPr>
        <w:t>.</w:t>
      </w:r>
      <w:r w:rsidRPr="00BB360E">
        <w:rPr>
          <w:color w:val="000000" w:themeColor="text1"/>
        </w:rPr>
        <w:t xml:space="preserve"> </w:t>
      </w:r>
    </w:p>
    <w:p w14:paraId="0F27396C" w14:textId="77777777" w:rsidR="002E7CF5" w:rsidRPr="00BB360E" w:rsidRDefault="002E7CF5" w:rsidP="00EA25B2">
      <w:pPr>
        <w:jc w:val="both"/>
        <w:rPr>
          <w:color w:val="000000" w:themeColor="text1"/>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66B50629" w:rsidR="000778E0" w:rsidRDefault="008F1BC1" w:rsidP="000778E0">
      <w:pPr>
        <w:spacing w:after="240"/>
        <w:jc w:val="both"/>
        <w:rPr>
          <w:lang w:val="en-US"/>
        </w:rPr>
      </w:pPr>
      <w:r>
        <w:rPr>
          <w:lang w:val="en-US"/>
        </w:rPr>
        <w:t xml:space="preserve">This document has considered </w:t>
      </w:r>
      <w:r w:rsidR="002F3E9F">
        <w:rPr>
          <w:lang w:val="en-US"/>
        </w:rPr>
        <w:t>the link budget and evaluation assumptions</w:t>
      </w:r>
      <w:r w:rsidR="00CF709C">
        <w:rPr>
          <w:lang w:val="en-US"/>
        </w:rPr>
        <w:t xml:space="preserve"> for the Ambient IoT study</w:t>
      </w:r>
      <w:r w:rsidR="00C36EF8">
        <w:rPr>
          <w:lang w:val="en-US"/>
        </w:rPr>
        <w:t xml:space="preserve">. The following </w:t>
      </w:r>
      <w:r w:rsidR="00BD5219">
        <w:rPr>
          <w:lang w:val="en-US"/>
        </w:rPr>
        <w:t>observations and proposals are made</w:t>
      </w:r>
      <w:r w:rsidR="00C36EF8">
        <w:rPr>
          <w:lang w:val="en-US"/>
        </w:rPr>
        <w:t>:</w:t>
      </w:r>
    </w:p>
    <w:p w14:paraId="77BBF21C" w14:textId="77777777" w:rsidR="00BD5219" w:rsidRPr="00BB360E" w:rsidRDefault="00BD5219" w:rsidP="00BD5219">
      <w:pPr>
        <w:jc w:val="both"/>
      </w:pPr>
      <w:r w:rsidRPr="00BB360E">
        <w:rPr>
          <w:b/>
          <w:bCs/>
        </w:rPr>
        <w:t xml:space="preserve">Observation </w:t>
      </w:r>
      <w:r>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7614CA2C" w14:textId="77777777" w:rsidR="00BD5219" w:rsidRDefault="00BD5219" w:rsidP="000778E0">
      <w:pPr>
        <w:spacing w:after="240"/>
        <w:jc w:val="both"/>
      </w:pPr>
    </w:p>
    <w:p w14:paraId="763699D2" w14:textId="77777777" w:rsidR="00BD5219" w:rsidRPr="00C97334" w:rsidRDefault="00BD5219" w:rsidP="00BD5219">
      <w:pPr>
        <w:jc w:val="both"/>
        <w:rPr>
          <w:b/>
          <w:bCs/>
        </w:rPr>
      </w:pPr>
      <w:r w:rsidRPr="00C97334">
        <w:rPr>
          <w:b/>
          <w:bCs/>
        </w:rPr>
        <w:t xml:space="preserve">Observation 2:  Given that the distance between two adjacent BSs in the big hall deployment equals </w:t>
      </w:r>
      <m:oMath>
        <m:r>
          <m:rPr>
            <m:sty m:val="bi"/>
          </m:rPr>
          <w:rPr>
            <w:rFonts w:ascii="Cambria Math" w:hAnsi="Cambria Math"/>
          </w:rPr>
          <m:t>D=50</m:t>
        </m:r>
      </m:oMath>
      <w:r w:rsidRPr="00C97334">
        <w:rPr>
          <w:b/>
          <w:bCs/>
        </w:rPr>
        <w:t xml:space="preserve"> m, </w:t>
      </w:r>
      <w:r w:rsidRPr="00C97334">
        <w:rPr>
          <w:b/>
          <w:bCs/>
          <w:color w:val="000000" w:themeColor="text1"/>
        </w:rPr>
        <w:t xml:space="preserve">the maximum R2D range is Approx. </w:t>
      </w:r>
      <m:oMath>
        <m:r>
          <m:rPr>
            <m:sty m:val="bi"/>
          </m:rPr>
          <w:rPr>
            <w:rFonts w:ascii="Cambria Math" w:hAnsi="Cambria Math"/>
            <w:color w:val="000000" w:themeColor="text1"/>
          </w:rPr>
          <m:t>35</m:t>
        </m:r>
      </m:oMath>
      <w:r w:rsidRPr="00C97334">
        <w:rPr>
          <w:b/>
          <w:bCs/>
          <w:color w:val="000000" w:themeColor="text1"/>
        </w:rPr>
        <w:t xml:space="preserve"> m</w:t>
      </w:r>
      <w:r w:rsidRPr="00C97334">
        <w:rPr>
          <w:b/>
          <w:bCs/>
        </w:rPr>
        <w:t xml:space="preserve">. This also implies that the type 1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sidRPr="00C97334">
        <w:rPr>
          <w:b/>
          <w:bCs/>
        </w:rPr>
        <w:t xml:space="preserve"> and the device attached to the cardboard sheet. </w:t>
      </w:r>
    </w:p>
    <w:p w14:paraId="0587B004" w14:textId="77777777" w:rsidR="00BD5219" w:rsidRDefault="00BD5219" w:rsidP="000778E0">
      <w:pPr>
        <w:spacing w:after="240"/>
        <w:jc w:val="both"/>
      </w:pPr>
    </w:p>
    <w:p w14:paraId="0576547C" w14:textId="54FD6CE5" w:rsidR="00BD5219" w:rsidRPr="00940EDC" w:rsidRDefault="00BD5219" w:rsidP="00BD5219">
      <w:pPr>
        <w:jc w:val="both"/>
        <w:rPr>
          <w:b/>
        </w:rPr>
      </w:pPr>
      <w:r w:rsidRPr="00940EDC">
        <w:rPr>
          <w:b/>
          <w:color w:val="000000" w:themeColor="text1"/>
        </w:rPr>
        <w:t xml:space="preserve">Observation 3: </w:t>
      </w:r>
      <w:r w:rsidRPr="00940EDC">
        <w:rPr>
          <w:b/>
        </w:rPr>
        <w:t xml:space="preserve">When the material that the device is attached to is reflective, e.g., metal, deploying type-2a devices or active devices is required to ensure the successful command reception. Type 1 devices are not compatible with the D1T1 scenario. </w:t>
      </w:r>
    </w:p>
    <w:p w14:paraId="606CC1C0" w14:textId="77777777" w:rsidR="00BD5219" w:rsidRDefault="00BD5219" w:rsidP="000778E0">
      <w:pPr>
        <w:spacing w:after="240"/>
        <w:jc w:val="both"/>
      </w:pPr>
    </w:p>
    <w:p w14:paraId="65FA6BB7" w14:textId="77777777" w:rsidR="00BD5219" w:rsidRPr="00BB360E" w:rsidRDefault="00BD5219" w:rsidP="00BD5219">
      <w:pPr>
        <w:jc w:val="both"/>
      </w:pPr>
      <w:r w:rsidRPr="00FD7D5D">
        <w:rPr>
          <w:b/>
          <w:bCs/>
        </w:rPr>
        <w:t xml:space="preserve">Observation 4: Given that the excitation threshold of type-ii (a) device is </w:t>
      </w:r>
      <m:oMath>
        <m:r>
          <m:rPr>
            <m:sty m:val="bi"/>
          </m:rPr>
          <w:rPr>
            <w:rFonts w:ascii="Cambria Math" w:hAnsi="Cambria Math"/>
          </w:rPr>
          <m:t>-40</m:t>
        </m:r>
      </m:oMath>
      <w:r w:rsidRPr="00FD7D5D">
        <w:rPr>
          <w:b/>
          <w:bCs/>
        </w:rPr>
        <w:t xml:space="preserve"> dBm and the reader sensitivity is </w:t>
      </w:r>
      <m:oMath>
        <m:r>
          <m:rPr>
            <m:sty m:val="bi"/>
          </m:rPr>
          <w:rPr>
            <w:rFonts w:ascii="Cambria Math" w:hAnsi="Cambria Math"/>
          </w:rPr>
          <m:t>-115</m:t>
        </m:r>
      </m:oMath>
      <w:r w:rsidRPr="00FD7D5D">
        <w:rPr>
          <w:b/>
          <w:bCs/>
        </w:rPr>
        <w:t xml:space="preserve"> dBm, type 2a device can well support the D2R link in the D1T1-A2 scenario</w:t>
      </w:r>
      <w:r w:rsidRPr="00BB360E">
        <w:t>.</w:t>
      </w:r>
    </w:p>
    <w:p w14:paraId="12039137" w14:textId="77777777" w:rsidR="00BD5219" w:rsidRPr="00BB360E" w:rsidRDefault="00BD5219" w:rsidP="00BD5219">
      <w:pPr>
        <w:jc w:val="both"/>
      </w:pPr>
    </w:p>
    <w:p w14:paraId="7FA6C0BF" w14:textId="62CFB502" w:rsidR="00BD5219" w:rsidRPr="00BB360E" w:rsidRDefault="00BD5219" w:rsidP="00BD5219">
      <w:pPr>
        <w:jc w:val="both"/>
        <w:rPr>
          <w:color w:val="000000" w:themeColor="text1"/>
        </w:rPr>
      </w:pPr>
      <w:r>
        <w:rPr>
          <w:b/>
          <w:bCs/>
          <w:color w:val="000000" w:themeColor="text1"/>
        </w:rPr>
        <w:t>Observation 5</w:t>
      </w:r>
      <w:r w:rsidRPr="00EC7E3D">
        <w:rPr>
          <w:b/>
          <w:bCs/>
          <w:color w:val="000000" w:themeColor="text1"/>
        </w:rPr>
        <w:t>: Type 2a devices are required for D1T1-B, where the UE is deployed as external CWE, in order to achieve successful device excitation.</w:t>
      </w:r>
      <w:r w:rsidRPr="00BB360E">
        <w:rPr>
          <w:color w:val="000000" w:themeColor="text1"/>
        </w:rPr>
        <w:t xml:space="preserve"> </w:t>
      </w:r>
    </w:p>
    <w:p w14:paraId="2DE6A593" w14:textId="77777777" w:rsidR="00BD5219" w:rsidRPr="00BB360E" w:rsidRDefault="00BD5219" w:rsidP="00BD5219">
      <w:pPr>
        <w:jc w:val="both"/>
      </w:pPr>
    </w:p>
    <w:p w14:paraId="34CB9AC7" w14:textId="5E23563D" w:rsidR="00BD5219" w:rsidRPr="00BB360E" w:rsidRDefault="00BD5219" w:rsidP="00BD5219">
      <w:pPr>
        <w:jc w:val="both"/>
        <w:rPr>
          <w:color w:val="000000" w:themeColor="text1"/>
        </w:rPr>
      </w:pPr>
      <w:r>
        <w:rPr>
          <w:b/>
          <w:bCs/>
          <w:color w:val="000000" w:themeColor="text1"/>
        </w:rPr>
        <w:t>Observation 6</w:t>
      </w:r>
      <w:r w:rsidRPr="00EC7E3D">
        <w:rPr>
          <w:b/>
          <w:bCs/>
          <w:color w:val="000000" w:themeColor="text1"/>
        </w:rPr>
        <w:t>: Type 2</w:t>
      </w:r>
      <w:r>
        <w:rPr>
          <w:b/>
          <w:bCs/>
          <w:color w:val="000000" w:themeColor="text1"/>
        </w:rPr>
        <w:t>b</w:t>
      </w:r>
      <w:r w:rsidRPr="00EC7E3D">
        <w:rPr>
          <w:b/>
          <w:bCs/>
          <w:color w:val="000000" w:themeColor="text1"/>
        </w:rPr>
        <w:t xml:space="preserve"> devices are required </w:t>
      </w:r>
      <w:r>
        <w:rPr>
          <w:b/>
          <w:bCs/>
          <w:color w:val="000000" w:themeColor="text1"/>
        </w:rPr>
        <w:t>easily achieve the link budget for the D1T1-C scenario</w:t>
      </w:r>
      <w:r w:rsidRPr="00EC7E3D">
        <w:rPr>
          <w:b/>
          <w:bCs/>
          <w:color w:val="000000" w:themeColor="text1"/>
        </w:rPr>
        <w:t>.</w:t>
      </w:r>
      <w:r w:rsidRPr="00BB360E">
        <w:rPr>
          <w:color w:val="000000" w:themeColor="text1"/>
        </w:rPr>
        <w:t xml:space="preserve"> </w:t>
      </w:r>
    </w:p>
    <w:p w14:paraId="70EF6A08" w14:textId="77777777" w:rsidR="00BD5219" w:rsidRPr="00BD5219" w:rsidRDefault="00BD5219" w:rsidP="000778E0">
      <w:pPr>
        <w:spacing w:after="240"/>
        <w:jc w:val="both"/>
      </w:pPr>
    </w:p>
    <w:p w14:paraId="1761E9C6" w14:textId="77777777" w:rsidR="00BD5219" w:rsidRDefault="00BD5219" w:rsidP="00222DB3">
      <w:pPr>
        <w:pStyle w:val="ListParagraph"/>
        <w:ind w:firstLineChars="0" w:firstLine="0"/>
        <w:jc w:val="both"/>
      </w:pPr>
      <w:r w:rsidRPr="00222DB3">
        <w:rPr>
          <w:b/>
          <w:bCs/>
          <w:color w:val="000000" w:themeColor="text1"/>
          <w:lang w:val="en-GB"/>
        </w:rPr>
        <w:t>Proposal 1</w:t>
      </w:r>
      <w:r>
        <w:rPr>
          <w:lang w:val="en-GB"/>
        </w:rPr>
        <w:t xml:space="preserve">: </w:t>
      </w:r>
      <w:r w:rsidRPr="004B36F7">
        <w:rPr>
          <w:b/>
          <w:bCs/>
        </w:rPr>
        <w:t>A unified approach is used for R2D link budget analysis for D1T1 scenarios, considering different activation thresholds for different device types</w:t>
      </w:r>
      <w:r w:rsidRPr="00BB360E">
        <w:t>.</w:t>
      </w:r>
    </w:p>
    <w:p w14:paraId="3CAA5B76" w14:textId="77777777" w:rsidR="00BD5219" w:rsidRDefault="00BD5219" w:rsidP="00BD5219">
      <w:pPr>
        <w:jc w:val="both"/>
        <w:rPr>
          <w:b/>
          <w:bCs/>
          <w:color w:val="000000" w:themeColor="text1"/>
        </w:rPr>
      </w:pPr>
    </w:p>
    <w:p w14:paraId="07646A40" w14:textId="6A223078" w:rsidR="00BD5219" w:rsidRPr="005D5763" w:rsidRDefault="00BD5219" w:rsidP="00222DB3">
      <w:pPr>
        <w:jc w:val="both"/>
        <w:rPr>
          <w:color w:val="000000" w:themeColor="text1"/>
        </w:rPr>
      </w:pPr>
      <w:r w:rsidRPr="00222DB3">
        <w:rPr>
          <w:b/>
          <w:bCs/>
          <w:color w:val="000000" w:themeColor="text1"/>
        </w:rPr>
        <w:lastRenderedPageBreak/>
        <w:t>Proposal 2</w:t>
      </w:r>
      <w:r>
        <w:rPr>
          <w:color w:val="000000" w:themeColor="text1"/>
        </w:rPr>
        <w:t xml:space="preserve">: </w:t>
      </w:r>
      <w:r w:rsidRPr="005D5763">
        <w:rPr>
          <w:color w:val="000000" w:themeColor="text1"/>
        </w:rPr>
        <w:t xml:space="preserve"> </w:t>
      </w:r>
      <w:r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Pr="00170DA5">
        <w:rPr>
          <w:b/>
          <w:bCs/>
          <w:color w:val="000000" w:themeColor="text1"/>
        </w:rPr>
        <w:t xml:space="preserve"> m for big hall and </w:t>
      </w:r>
      <m:oMath>
        <m:r>
          <m:rPr>
            <m:sty m:val="bi"/>
          </m:rPr>
          <w:rPr>
            <w:rFonts w:ascii="Cambria Math" w:hAnsi="Cambria Math"/>
            <w:color w:val="000000" w:themeColor="text1"/>
          </w:rPr>
          <m:t>D = 8, 14</m:t>
        </m:r>
      </m:oMath>
      <w:r w:rsidRPr="00170DA5">
        <w:rPr>
          <w:b/>
          <w:bCs/>
          <w:color w:val="000000" w:themeColor="text1"/>
        </w:rPr>
        <w:t xml:space="preserve"> for small hall, etc. </w:t>
      </w:r>
      <m:oMath>
        <m:r>
          <m:rPr>
            <m:sty m:val="bi"/>
          </m:rPr>
          <w:rPr>
            <w:rFonts w:ascii="Cambria Math" w:hAnsi="Cambria Math"/>
            <w:color w:val="000000" w:themeColor="text1"/>
          </w:rPr>
          <m:t>D</m:t>
        </m:r>
      </m:oMath>
      <w:r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Pr="00170DA5">
        <w:rPr>
          <w:b/>
          <w:bCs/>
          <w:color w:val="000000" w:themeColor="text1"/>
        </w:rPr>
        <w:t xml:space="preserve"> and thus the device should ideally communicate with both.</w:t>
      </w:r>
      <w:r w:rsidRPr="005D5763">
        <w:rPr>
          <w:color w:val="000000" w:themeColor="text1"/>
        </w:rPr>
        <w:t xml:space="preserve"> </w:t>
      </w:r>
    </w:p>
    <w:p w14:paraId="6AE643C6" w14:textId="77777777" w:rsidR="00BD5219" w:rsidRDefault="00BD5219" w:rsidP="00C36EF8">
      <w:pPr>
        <w:spacing w:afterLines="50" w:after="156"/>
        <w:jc w:val="both"/>
        <w:rPr>
          <w:b/>
          <w:bCs/>
          <w:sz w:val="22"/>
          <w:szCs w:val="22"/>
        </w:rPr>
      </w:pPr>
    </w:p>
    <w:p w14:paraId="14BAE186" w14:textId="0CB04EBC" w:rsidR="00BD5219" w:rsidRPr="00BB360E" w:rsidRDefault="00BD5219" w:rsidP="00BD5219">
      <w:pPr>
        <w:jc w:val="both"/>
      </w:pPr>
      <w:r w:rsidRPr="00BE42E1">
        <w:rPr>
          <w:b/>
          <w:bCs/>
          <w:color w:val="000000" w:themeColor="text1"/>
        </w:rPr>
        <w:t>Proposal 3</w:t>
      </w:r>
      <w:r w:rsidRPr="00170DA5">
        <w:rPr>
          <w:b/>
          <w:bCs/>
        </w:rPr>
        <w:t xml:space="preserve">: For backscattering devices, i.e., type 1 and type 2a devices, an on-object antenna penalty in both R2D and D2R links is considered. RAN1 assumes </w:t>
      </w:r>
      <m:oMath>
        <m:r>
          <m:rPr>
            <m:sty m:val="bi"/>
          </m:rPr>
          <w:rPr>
            <w:rFonts w:ascii="Cambria Math" w:hAnsi="Cambria Math"/>
          </w:rPr>
          <m:t>0.9</m:t>
        </m:r>
      </m:oMath>
      <w:r w:rsidRPr="00170DA5">
        <w:rPr>
          <w:b/>
          <w:bCs/>
        </w:rPr>
        <w:t xml:space="preserve"> dB for cardboard sheet and </w:t>
      </w:r>
      <m:oMath>
        <m:r>
          <m:rPr>
            <m:sty m:val="bi"/>
          </m:rPr>
          <w:rPr>
            <w:rFonts w:ascii="Cambria Math" w:hAnsi="Cambria Math"/>
          </w:rPr>
          <m:t>10.4</m:t>
        </m:r>
      </m:oMath>
      <w:r w:rsidRPr="00170DA5">
        <w:rPr>
          <w:b/>
          <w:bCs/>
        </w:rPr>
        <w:t xml:space="preserve"> dB for aluminium slab as on-object antenna penalties.</w:t>
      </w:r>
      <w:r w:rsidRPr="00BB360E">
        <w:t xml:space="preserve">  </w:t>
      </w:r>
    </w:p>
    <w:p w14:paraId="6D5BD7E5" w14:textId="77777777" w:rsidR="00BD5219" w:rsidRPr="00BD5219" w:rsidRDefault="00BD5219" w:rsidP="00C36EF8">
      <w:pPr>
        <w:spacing w:afterLines="50" w:after="156"/>
        <w:jc w:val="both"/>
        <w:rPr>
          <w:b/>
          <w:bCs/>
          <w:sz w:val="22"/>
          <w:szCs w:val="22"/>
        </w:rPr>
      </w:pPr>
    </w:p>
    <w:p w14:paraId="2B6ACC33" w14:textId="6246F67D" w:rsidR="00C36EF8" w:rsidRPr="00D479EE" w:rsidRDefault="00C36EF8" w:rsidP="00C36EF8">
      <w:pPr>
        <w:spacing w:afterLines="50" w:after="156"/>
        <w:jc w:val="both"/>
        <w:rPr>
          <w:b/>
          <w:bCs/>
          <w:sz w:val="22"/>
          <w:szCs w:val="22"/>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4247E5C3" w14:textId="2E24E51A" w:rsidR="00BC0E9D" w:rsidRPr="00936F1A" w:rsidRDefault="00542DDA" w:rsidP="00BC0E9D">
      <w:pPr>
        <w:spacing w:after="120"/>
        <w:ind w:left="851" w:hanging="851"/>
        <w:jc w:val="both"/>
      </w:pPr>
      <w:r w:rsidRPr="00DF6F02">
        <w:rPr>
          <w:color w:val="000000" w:themeColor="text1"/>
        </w:rPr>
        <w:t xml:space="preserve">[1] </w:t>
      </w:r>
      <w:r w:rsidR="00BC0E9D">
        <w:rPr>
          <w:color w:val="000000" w:themeColor="text1"/>
        </w:rPr>
        <w:tab/>
      </w:r>
      <w:r w:rsidRPr="00DF6F02">
        <w:rPr>
          <w:color w:val="000000" w:themeColor="text1"/>
        </w:rPr>
        <w:t xml:space="preserve">Griffin, Joshua D., and Gregory D. Durgin. "Complete </w:t>
      </w:r>
      <w:r w:rsidR="00BE6090">
        <w:rPr>
          <w:color w:val="000000" w:themeColor="text1"/>
        </w:rPr>
        <w:t>L</w:t>
      </w:r>
      <w:r w:rsidRPr="00DF6F02">
        <w:rPr>
          <w:color w:val="000000" w:themeColor="text1"/>
        </w:rPr>
        <w:t xml:space="preserve">ink </w:t>
      </w:r>
      <w:r w:rsidR="00BE6090">
        <w:rPr>
          <w:color w:val="000000" w:themeColor="text1"/>
        </w:rPr>
        <w:t>B</w:t>
      </w:r>
      <w:r w:rsidRPr="00DF6F02">
        <w:rPr>
          <w:color w:val="000000" w:themeColor="text1"/>
        </w:rPr>
        <w:t xml:space="preserve">udgets for </w:t>
      </w:r>
      <w:r w:rsidR="00096D37">
        <w:rPr>
          <w:color w:val="000000" w:themeColor="text1"/>
        </w:rPr>
        <w:t>B</w:t>
      </w:r>
      <w:r w:rsidRPr="00DF6F02">
        <w:rPr>
          <w:color w:val="000000" w:themeColor="text1"/>
        </w:rPr>
        <w:t>ackscatter-</w:t>
      </w:r>
      <w:r w:rsidR="00096D37">
        <w:rPr>
          <w:color w:val="000000" w:themeColor="text1"/>
        </w:rPr>
        <w:t>R</w:t>
      </w:r>
      <w:r w:rsidRPr="00DF6F02">
        <w:rPr>
          <w:color w:val="000000" w:themeColor="text1"/>
        </w:rPr>
        <w:t xml:space="preserve">adio and RFID </w:t>
      </w:r>
      <w:r w:rsidR="00096D37">
        <w:rPr>
          <w:color w:val="000000" w:themeColor="text1"/>
        </w:rPr>
        <w:t>S</w:t>
      </w:r>
      <w:r w:rsidRPr="00DF6F02">
        <w:rPr>
          <w:color w:val="000000" w:themeColor="text1"/>
        </w:rPr>
        <w:t>ystems." IEEE Antennas and Propagation Magazine 51, no. 2 (2009): 11-25.</w:t>
      </w:r>
    </w:p>
    <w:p w14:paraId="46557734" w14:textId="01C12190" w:rsidR="00542DDA" w:rsidRPr="00BC0E9D" w:rsidRDefault="00542DDA" w:rsidP="00BC0E9D">
      <w:pPr>
        <w:spacing w:after="120"/>
        <w:ind w:left="851" w:hanging="851"/>
        <w:jc w:val="both"/>
      </w:pPr>
      <w:r w:rsidRPr="00DF6F02">
        <w:rPr>
          <w:color w:val="000000" w:themeColor="text1"/>
        </w:rPr>
        <w:t xml:space="preserve">[2] </w:t>
      </w:r>
      <w:r w:rsidR="00BC0E9D">
        <w:rPr>
          <w:color w:val="000000" w:themeColor="text1"/>
        </w:rPr>
        <w:tab/>
      </w:r>
      <w:r w:rsidRPr="00DF6F02">
        <w:rPr>
          <w:color w:val="000000" w:themeColor="text1"/>
        </w:rPr>
        <w:t>Solar, Hector, Andoni Beriain, Roc Berenguer, Javier Sosa, and Juan A. Montiel-Nelson. "Semi-Passive UHF RFID Sensor Tags: A Comprehensive Review." IEEE Access 11 (2023): 135583-135599.</w:t>
      </w:r>
    </w:p>
    <w:p w14:paraId="654E1CDE" w14:textId="4184C53C" w:rsidR="00BC0E9D" w:rsidRPr="00936F1A" w:rsidRDefault="00542DDA" w:rsidP="00BC0E9D">
      <w:pPr>
        <w:spacing w:after="120"/>
        <w:ind w:left="851" w:hanging="851"/>
        <w:jc w:val="both"/>
      </w:pPr>
      <w:r w:rsidRPr="00BC0E9D">
        <w:rPr>
          <w:color w:val="000000" w:themeColor="text1"/>
        </w:rPr>
        <w:t xml:space="preserve">[3] </w:t>
      </w:r>
      <w:r w:rsidR="00BC0E9D" w:rsidRPr="00BC0E9D">
        <w:rPr>
          <w:color w:val="000000" w:themeColor="text1"/>
        </w:rPr>
        <w:tab/>
      </w:r>
      <w:r w:rsidRPr="00BC0E9D">
        <w:rPr>
          <w:color w:val="000000" w:themeColor="text1"/>
        </w:rPr>
        <w:t>R1-240</w:t>
      </w:r>
      <w:r w:rsidR="00202535" w:rsidRPr="00BC0E9D">
        <w:rPr>
          <w:color w:val="000000" w:themeColor="text1"/>
        </w:rPr>
        <w:t>1735</w:t>
      </w:r>
      <w:r w:rsidRPr="00BC0E9D">
        <w:rPr>
          <w:color w:val="000000" w:themeColor="text1"/>
        </w:rPr>
        <w:t xml:space="preserve">, </w:t>
      </w:r>
      <w:r w:rsidR="00BC0E9D" w:rsidRPr="00BC0E9D">
        <w:rPr>
          <w:color w:val="000000" w:themeColor="text1"/>
        </w:rPr>
        <w:t>“FL summary #2 for Ambient IoT evaluation</w:t>
      </w:r>
      <w:r w:rsidR="00BC0E9D">
        <w:rPr>
          <w:color w:val="000000" w:themeColor="text1"/>
        </w:rPr>
        <w:t xml:space="preserve">”, Moderator (CMCC). </w:t>
      </w:r>
      <w:r w:rsidRPr="00DF6F02">
        <w:rPr>
          <w:color w:val="000000" w:themeColor="text1"/>
        </w:rPr>
        <w:t>3GPP TSG RAN WG1 #11</w:t>
      </w:r>
      <w:r w:rsidRPr="00DF6F02">
        <w:rPr>
          <w:rFonts w:eastAsiaTheme="minorEastAsia"/>
          <w:color w:val="000000" w:themeColor="text1"/>
          <w:lang w:eastAsia="zh-CN"/>
        </w:rPr>
        <w:t>6</w:t>
      </w:r>
      <w:r w:rsidRPr="00DF6F02">
        <w:rPr>
          <w:color w:val="000000" w:themeColor="text1"/>
        </w:rPr>
        <w:t xml:space="preserve">, Athens, Greece, </w:t>
      </w:r>
      <w:r w:rsidR="00BF25A0" w:rsidRPr="00DF6F02">
        <w:rPr>
          <w:color w:val="000000" w:themeColor="text1"/>
        </w:rPr>
        <w:t>February</w:t>
      </w:r>
      <w:r w:rsidRPr="00DF6F02">
        <w:rPr>
          <w:color w:val="000000" w:themeColor="text1"/>
        </w:rPr>
        <w:t>, 2024</w:t>
      </w:r>
      <w:r w:rsidR="00096D37">
        <w:rPr>
          <w:color w:val="000000" w:themeColor="text1"/>
        </w:rPr>
        <w:t>.</w:t>
      </w:r>
    </w:p>
    <w:p w14:paraId="4EB21A85" w14:textId="534F50FB" w:rsidR="00BC0E9D" w:rsidRPr="00936F1A" w:rsidRDefault="00542DDA" w:rsidP="00BC0E9D">
      <w:pPr>
        <w:spacing w:after="120"/>
        <w:ind w:left="851" w:hanging="851"/>
        <w:jc w:val="both"/>
      </w:pPr>
      <w:r w:rsidRPr="00DF6F02">
        <w:rPr>
          <w:color w:val="000000" w:themeColor="text1"/>
        </w:rPr>
        <w:t xml:space="preserve">[4] </w:t>
      </w:r>
      <w:r w:rsidR="00BC0E9D">
        <w:rPr>
          <w:color w:val="000000" w:themeColor="text1"/>
        </w:rPr>
        <w:tab/>
      </w:r>
      <w:r w:rsidRPr="00DF6F02">
        <w:rPr>
          <w:color w:val="000000" w:themeColor="text1"/>
        </w:rPr>
        <w:t xml:space="preserve">Karthaus, Udo, and Martin Fischer. "Fully </w:t>
      </w:r>
      <w:r w:rsidR="00096D37">
        <w:rPr>
          <w:color w:val="000000" w:themeColor="text1"/>
        </w:rPr>
        <w:t>I</w:t>
      </w:r>
      <w:r w:rsidRPr="00DF6F02">
        <w:rPr>
          <w:color w:val="000000" w:themeColor="text1"/>
        </w:rPr>
        <w:t xml:space="preserve">ntegrated </w:t>
      </w:r>
      <w:r w:rsidR="00096D37">
        <w:rPr>
          <w:color w:val="000000" w:themeColor="text1"/>
        </w:rPr>
        <w:t>P</w:t>
      </w:r>
      <w:r w:rsidRPr="00DF6F02">
        <w:rPr>
          <w:color w:val="000000" w:themeColor="text1"/>
        </w:rPr>
        <w:t xml:space="preserve">assive UHF RFID </w:t>
      </w:r>
      <w:r w:rsidR="00096D37">
        <w:rPr>
          <w:color w:val="000000" w:themeColor="text1"/>
        </w:rPr>
        <w:t>T</w:t>
      </w:r>
      <w:r w:rsidRPr="00DF6F02">
        <w:rPr>
          <w:color w:val="000000" w:themeColor="text1"/>
        </w:rPr>
        <w:t xml:space="preserve">ransponder IC with 16.7-μW </w:t>
      </w:r>
      <w:r w:rsidR="00096D37">
        <w:rPr>
          <w:color w:val="000000" w:themeColor="text1"/>
        </w:rPr>
        <w:t>M</w:t>
      </w:r>
      <w:r w:rsidRPr="00DF6F02">
        <w:rPr>
          <w:color w:val="000000" w:themeColor="text1"/>
        </w:rPr>
        <w:t xml:space="preserve">inimum RF </w:t>
      </w:r>
      <w:r w:rsidR="00096D37">
        <w:rPr>
          <w:color w:val="000000" w:themeColor="text1"/>
        </w:rPr>
        <w:t>I</w:t>
      </w:r>
      <w:r w:rsidRPr="00DF6F02">
        <w:rPr>
          <w:color w:val="000000" w:themeColor="text1"/>
        </w:rPr>
        <w:t xml:space="preserve">nput </w:t>
      </w:r>
      <w:r w:rsidR="00096D37">
        <w:rPr>
          <w:color w:val="000000" w:themeColor="text1"/>
        </w:rPr>
        <w:t>P</w:t>
      </w:r>
      <w:r w:rsidRPr="00DF6F02">
        <w:rPr>
          <w:color w:val="000000" w:themeColor="text1"/>
        </w:rPr>
        <w:t xml:space="preserve">ower." IEEE Journal of </w:t>
      </w:r>
      <w:r w:rsidR="00BF2274">
        <w:rPr>
          <w:color w:val="000000" w:themeColor="text1"/>
        </w:rPr>
        <w:t>S</w:t>
      </w:r>
      <w:r w:rsidRPr="00DF6F02">
        <w:rPr>
          <w:color w:val="000000" w:themeColor="text1"/>
        </w:rPr>
        <w:t>olid-</w:t>
      </w:r>
      <w:r w:rsidR="00BF2274">
        <w:rPr>
          <w:color w:val="000000" w:themeColor="text1"/>
        </w:rPr>
        <w:t>S</w:t>
      </w:r>
      <w:r w:rsidRPr="00DF6F02">
        <w:rPr>
          <w:color w:val="000000" w:themeColor="text1"/>
        </w:rPr>
        <w:t xml:space="preserve">tate </w:t>
      </w:r>
      <w:r w:rsidR="00BF2274">
        <w:rPr>
          <w:color w:val="000000" w:themeColor="text1"/>
        </w:rPr>
        <w:t>C</w:t>
      </w:r>
      <w:r w:rsidRPr="00DF6F02">
        <w:rPr>
          <w:color w:val="000000" w:themeColor="text1"/>
        </w:rPr>
        <w:t>ircuits 38, no. 10 (2003): 1602-1608.</w:t>
      </w:r>
    </w:p>
    <w:p w14:paraId="7E842BD0" w14:textId="21B04519" w:rsidR="00511AC7" w:rsidRPr="00936F1A" w:rsidRDefault="00511AC7" w:rsidP="00BC0E9D">
      <w:pPr>
        <w:spacing w:after="120"/>
        <w:ind w:left="851" w:hanging="851"/>
      </w:pPr>
      <w:r>
        <w:t>[5]</w:t>
      </w:r>
      <w:r>
        <w:tab/>
      </w:r>
      <w:r w:rsidRPr="00936F1A">
        <w:t>RP-240826. “Study on solutions for Ambient IoT (Internet of Things) in NR”. RANP#103. Maastricht, Netherlands. March 2024.</w:t>
      </w:r>
    </w:p>
    <w:p w14:paraId="2F9208DF" w14:textId="596575F3" w:rsidR="00D565B5" w:rsidRDefault="00D565B5" w:rsidP="00D565B5">
      <w:pPr>
        <w:spacing w:after="120"/>
        <w:ind w:left="851" w:hanging="851"/>
        <w:jc w:val="both"/>
      </w:pPr>
      <w:r w:rsidRPr="000A44A4">
        <w:t>[</w:t>
      </w:r>
      <w:r>
        <w:t>6</w:t>
      </w:r>
      <w:r w:rsidRPr="000A44A4">
        <w:t>]</w:t>
      </w:r>
      <w:r w:rsidRPr="000A44A4">
        <w:tab/>
        <w:t>RP-240854</w:t>
      </w:r>
      <w:r>
        <w:t>, section 8</w:t>
      </w:r>
      <w:r w:rsidRPr="000A44A4">
        <w:t>. “Moderator’s summary on R19 Ambient IoT”. RANP#103. Maastricht, Netherlands. March 2024.</w:t>
      </w:r>
    </w:p>
    <w:p w14:paraId="64358644" w14:textId="142ED63A" w:rsidR="00B34479" w:rsidRDefault="00B34479" w:rsidP="00D565B5">
      <w:pPr>
        <w:spacing w:after="120"/>
        <w:ind w:left="851" w:hanging="851"/>
        <w:jc w:val="both"/>
      </w:pPr>
      <w:r>
        <w:t>[7]</w:t>
      </w:r>
      <w:r>
        <w:tab/>
        <w:t>Chairman’s notes. RAN1#116</w:t>
      </w:r>
      <w:r w:rsidR="00576509">
        <w:t xml:space="preserve">. Athens, Greece. </w:t>
      </w:r>
      <w:r w:rsidR="004B2178">
        <w:t>February 2024.</w:t>
      </w:r>
    </w:p>
    <w:p w14:paraId="21FD56A4" w14:textId="77777777" w:rsidR="00A9593B" w:rsidRDefault="00A9593B" w:rsidP="009218EB">
      <w:pPr>
        <w:ind w:left="851" w:hanging="851"/>
      </w:pPr>
    </w:p>
    <w:p w14:paraId="6C1F0C07" w14:textId="78A7FA57" w:rsidR="008B7001" w:rsidRPr="009218EB" w:rsidRDefault="008B7001" w:rsidP="0099538E">
      <w:pPr>
        <w:ind w:left="709" w:hanging="709"/>
        <w:rPr>
          <w:lang w:eastAsia="ja-JP"/>
        </w:rPr>
      </w:pPr>
    </w:p>
    <w:p w14:paraId="611080E0" w14:textId="77777777" w:rsidR="00815477" w:rsidRDefault="00815477" w:rsidP="00D523BD">
      <w:pPr>
        <w:rPr>
          <w:lang w:eastAsia="ja-JP"/>
        </w:rPr>
      </w:pPr>
    </w:p>
    <w:p w14:paraId="5CC820D3" w14:textId="77777777" w:rsidR="00F860C5" w:rsidRDefault="00F860C5" w:rsidP="00D523BD">
      <w:pPr>
        <w:rPr>
          <w:lang w:eastAsia="ja-JP"/>
        </w:rPr>
      </w:pPr>
    </w:p>
    <w:p w14:paraId="10EBE7F8" w14:textId="4622C02C" w:rsidR="00F860C5" w:rsidRDefault="00F860C5"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DBAC5" w14:textId="77777777" w:rsidR="00DF3E70" w:rsidRDefault="00DF3E70">
      <w:r>
        <w:separator/>
      </w:r>
    </w:p>
  </w:endnote>
  <w:endnote w:type="continuationSeparator" w:id="0">
    <w:p w14:paraId="7A34261C" w14:textId="77777777" w:rsidR="00DF3E70" w:rsidRDefault="00DF3E70">
      <w:r>
        <w:continuationSeparator/>
      </w:r>
    </w:p>
  </w:endnote>
  <w:endnote w:type="continuationNotice" w:id="1">
    <w:p w14:paraId="4C2AA496" w14:textId="77777777" w:rsidR="00DF3E70" w:rsidRDefault="00DF3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89DB" w14:textId="77777777" w:rsidR="00DF3E70" w:rsidRDefault="00DF3E70">
      <w:r>
        <w:separator/>
      </w:r>
    </w:p>
  </w:footnote>
  <w:footnote w:type="continuationSeparator" w:id="0">
    <w:p w14:paraId="0041EDF0" w14:textId="77777777" w:rsidR="00DF3E70" w:rsidRDefault="00DF3E70">
      <w:r>
        <w:continuationSeparator/>
      </w:r>
    </w:p>
  </w:footnote>
  <w:footnote w:type="continuationNotice" w:id="1">
    <w:p w14:paraId="6493278C" w14:textId="77777777" w:rsidR="00DF3E70" w:rsidRDefault="00DF3E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B04CD"/>
    <w:multiLevelType w:val="hybridMultilevel"/>
    <w:tmpl w:val="C084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B454F9"/>
    <w:multiLevelType w:val="multilevel"/>
    <w:tmpl w:val="AF18C8A6"/>
    <w:lvl w:ilvl="0">
      <w:start w:val="1"/>
      <w:numFmt w:val="decimal"/>
      <w:lvlText w:val="Proposal %1:"/>
      <w:lvlJc w:val="left"/>
      <w:pPr>
        <w:ind w:left="0" w:firstLine="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FB0659"/>
    <w:multiLevelType w:val="hybridMultilevel"/>
    <w:tmpl w:val="6C5C7FC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370A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B4F511F"/>
    <w:multiLevelType w:val="multilevel"/>
    <w:tmpl w:val="5E74E4FA"/>
    <w:lvl w:ilvl="0">
      <w:start w:val="1"/>
      <w:numFmt w:val="upperLetter"/>
      <w:lvlText w:val="%1."/>
      <w:lvlJc w:val="left"/>
      <w:pPr>
        <w:ind w:left="720" w:hanging="360"/>
      </w:pPr>
    </w:lvl>
    <w:lvl w:ilvl="1">
      <w:start w:val="1"/>
      <w:numFmt w:val="decimal"/>
      <w:isLgl/>
      <w:lvlText w:val="%1.%2."/>
      <w:lvlJc w:val="left"/>
      <w:pPr>
        <w:ind w:left="114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F536407"/>
    <w:multiLevelType w:val="hybridMultilevel"/>
    <w:tmpl w:val="678CC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073743"/>
    <w:multiLevelType w:val="hybridMultilevel"/>
    <w:tmpl w:val="6D0A8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232820"/>
    <w:multiLevelType w:val="hybridMultilevel"/>
    <w:tmpl w:val="15501978"/>
    <w:lvl w:ilvl="0" w:tplc="AE8813E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3875A6"/>
    <w:multiLevelType w:val="hybridMultilevel"/>
    <w:tmpl w:val="733AD2B8"/>
    <w:lvl w:ilvl="0" w:tplc="611A93D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9"/>
  </w:num>
  <w:num w:numId="3" w16cid:durableId="1969503247">
    <w:abstractNumId w:val="8"/>
  </w:num>
  <w:num w:numId="4" w16cid:durableId="1778133416">
    <w:abstractNumId w:val="23"/>
  </w:num>
  <w:num w:numId="5" w16cid:durableId="391659994">
    <w:abstractNumId w:val="18"/>
  </w:num>
  <w:num w:numId="6" w16cid:durableId="1169832283">
    <w:abstractNumId w:val="16"/>
  </w:num>
  <w:num w:numId="7" w16cid:durableId="282737422">
    <w:abstractNumId w:val="1"/>
  </w:num>
  <w:num w:numId="8" w16cid:durableId="993217250">
    <w:abstractNumId w:val="2"/>
  </w:num>
  <w:num w:numId="9" w16cid:durableId="1130127262">
    <w:abstractNumId w:val="15"/>
  </w:num>
  <w:num w:numId="10" w16cid:durableId="2088258364">
    <w:abstractNumId w:val="24"/>
  </w:num>
  <w:num w:numId="11" w16cid:durableId="1017582844">
    <w:abstractNumId w:val="5"/>
  </w:num>
  <w:num w:numId="12" w16cid:durableId="1690912394">
    <w:abstractNumId w:val="7"/>
  </w:num>
  <w:num w:numId="13" w16cid:durableId="943000121">
    <w:abstractNumId w:val="20"/>
  </w:num>
  <w:num w:numId="14" w16cid:durableId="1499614719">
    <w:abstractNumId w:val="4"/>
  </w:num>
  <w:num w:numId="15" w16cid:durableId="1614707295">
    <w:abstractNumId w:val="12"/>
  </w:num>
  <w:num w:numId="16" w16cid:durableId="745222669">
    <w:abstractNumId w:val="13"/>
  </w:num>
  <w:num w:numId="17" w16cid:durableId="1741320192">
    <w:abstractNumId w:val="21"/>
  </w:num>
  <w:num w:numId="18" w16cid:durableId="168957395">
    <w:abstractNumId w:val="22"/>
  </w:num>
  <w:num w:numId="19" w16cid:durableId="1684211188">
    <w:abstractNumId w:val="14"/>
  </w:num>
  <w:num w:numId="20" w16cid:durableId="709309247">
    <w:abstractNumId w:val="17"/>
  </w:num>
  <w:num w:numId="21" w16cid:durableId="417211459">
    <w:abstractNumId w:val="3"/>
  </w:num>
  <w:num w:numId="22" w16cid:durableId="1396976937">
    <w:abstractNumId w:val="9"/>
  </w:num>
  <w:num w:numId="23" w16cid:durableId="5375880">
    <w:abstractNumId w:val="11"/>
  </w:num>
  <w:num w:numId="24" w16cid:durableId="1258950527">
    <w:abstractNumId w:val="10"/>
  </w:num>
  <w:num w:numId="25" w16cid:durableId="65896649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E"/>
    <w:rsid w:val="00000C28"/>
    <w:rsid w:val="000010D9"/>
    <w:rsid w:val="00001234"/>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8D9"/>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D9C"/>
    <w:rsid w:val="00032FA3"/>
    <w:rsid w:val="0003388B"/>
    <w:rsid w:val="000338B5"/>
    <w:rsid w:val="00033A44"/>
    <w:rsid w:val="00033AF2"/>
    <w:rsid w:val="00033BDA"/>
    <w:rsid w:val="00034E42"/>
    <w:rsid w:val="000353AA"/>
    <w:rsid w:val="000353C1"/>
    <w:rsid w:val="00035666"/>
    <w:rsid w:val="000357E9"/>
    <w:rsid w:val="00036ABA"/>
    <w:rsid w:val="00036B85"/>
    <w:rsid w:val="00036BF2"/>
    <w:rsid w:val="00036E56"/>
    <w:rsid w:val="00036E8C"/>
    <w:rsid w:val="00036F06"/>
    <w:rsid w:val="00037014"/>
    <w:rsid w:val="000379DC"/>
    <w:rsid w:val="00037D33"/>
    <w:rsid w:val="00037FD7"/>
    <w:rsid w:val="00040063"/>
    <w:rsid w:val="000403F6"/>
    <w:rsid w:val="00040428"/>
    <w:rsid w:val="0004092A"/>
    <w:rsid w:val="00040AF1"/>
    <w:rsid w:val="00040B23"/>
    <w:rsid w:val="00040C84"/>
    <w:rsid w:val="00040DE1"/>
    <w:rsid w:val="00041079"/>
    <w:rsid w:val="00041D06"/>
    <w:rsid w:val="00041DDC"/>
    <w:rsid w:val="00041EA2"/>
    <w:rsid w:val="00041F78"/>
    <w:rsid w:val="0004207D"/>
    <w:rsid w:val="00042109"/>
    <w:rsid w:val="0004259D"/>
    <w:rsid w:val="000426B3"/>
    <w:rsid w:val="000427D0"/>
    <w:rsid w:val="00042B4D"/>
    <w:rsid w:val="00042B9F"/>
    <w:rsid w:val="00042BB1"/>
    <w:rsid w:val="00042F83"/>
    <w:rsid w:val="00043099"/>
    <w:rsid w:val="0004312B"/>
    <w:rsid w:val="0004315F"/>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5B"/>
    <w:rsid w:val="000553B9"/>
    <w:rsid w:val="00055812"/>
    <w:rsid w:val="000558A3"/>
    <w:rsid w:val="00055939"/>
    <w:rsid w:val="00055CDA"/>
    <w:rsid w:val="00055CE5"/>
    <w:rsid w:val="00055D6C"/>
    <w:rsid w:val="00055E82"/>
    <w:rsid w:val="0005607B"/>
    <w:rsid w:val="00056AC4"/>
    <w:rsid w:val="00056CA3"/>
    <w:rsid w:val="00056D90"/>
    <w:rsid w:val="00057639"/>
    <w:rsid w:val="00057A67"/>
    <w:rsid w:val="00057FE1"/>
    <w:rsid w:val="000600B3"/>
    <w:rsid w:val="0006012A"/>
    <w:rsid w:val="00060229"/>
    <w:rsid w:val="000605D0"/>
    <w:rsid w:val="00060CF9"/>
    <w:rsid w:val="00060F7F"/>
    <w:rsid w:val="00061109"/>
    <w:rsid w:val="00061224"/>
    <w:rsid w:val="000617AC"/>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D2E"/>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02E"/>
    <w:rsid w:val="00076144"/>
    <w:rsid w:val="000763C7"/>
    <w:rsid w:val="000765B3"/>
    <w:rsid w:val="000765E9"/>
    <w:rsid w:val="000765F7"/>
    <w:rsid w:val="000766E6"/>
    <w:rsid w:val="00076BCB"/>
    <w:rsid w:val="00077174"/>
    <w:rsid w:val="000774A9"/>
    <w:rsid w:val="00077528"/>
    <w:rsid w:val="000778E0"/>
    <w:rsid w:val="00077913"/>
    <w:rsid w:val="000779D6"/>
    <w:rsid w:val="00077B1E"/>
    <w:rsid w:val="00080516"/>
    <w:rsid w:val="00080529"/>
    <w:rsid w:val="000805CB"/>
    <w:rsid w:val="000807A3"/>
    <w:rsid w:val="000809E4"/>
    <w:rsid w:val="00080BDB"/>
    <w:rsid w:val="00080C81"/>
    <w:rsid w:val="00080DF8"/>
    <w:rsid w:val="00081045"/>
    <w:rsid w:val="0008144E"/>
    <w:rsid w:val="00081615"/>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CB6"/>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3F1B"/>
    <w:rsid w:val="0009422F"/>
    <w:rsid w:val="00094668"/>
    <w:rsid w:val="0009466E"/>
    <w:rsid w:val="000949DF"/>
    <w:rsid w:val="00094B4C"/>
    <w:rsid w:val="00095252"/>
    <w:rsid w:val="0009535F"/>
    <w:rsid w:val="00095616"/>
    <w:rsid w:val="000957EE"/>
    <w:rsid w:val="00095894"/>
    <w:rsid w:val="000958A6"/>
    <w:rsid w:val="000958C1"/>
    <w:rsid w:val="00095A0E"/>
    <w:rsid w:val="00095AE9"/>
    <w:rsid w:val="00095C09"/>
    <w:rsid w:val="00095FAE"/>
    <w:rsid w:val="0009653B"/>
    <w:rsid w:val="000969B8"/>
    <w:rsid w:val="00096CE3"/>
    <w:rsid w:val="00096D37"/>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1CC8"/>
    <w:rsid w:val="000A1CD7"/>
    <w:rsid w:val="000A206F"/>
    <w:rsid w:val="000A2169"/>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5C"/>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AF4"/>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1983"/>
    <w:rsid w:val="000F26E1"/>
    <w:rsid w:val="000F2CBE"/>
    <w:rsid w:val="000F2DA7"/>
    <w:rsid w:val="000F2F1E"/>
    <w:rsid w:val="000F327F"/>
    <w:rsid w:val="000F33B9"/>
    <w:rsid w:val="000F34A3"/>
    <w:rsid w:val="000F34F7"/>
    <w:rsid w:val="000F34FC"/>
    <w:rsid w:val="000F3567"/>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0C"/>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36E"/>
    <w:rsid w:val="001404D5"/>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B14"/>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0DA5"/>
    <w:rsid w:val="001710FC"/>
    <w:rsid w:val="001711BA"/>
    <w:rsid w:val="0017147F"/>
    <w:rsid w:val="001716C0"/>
    <w:rsid w:val="0017188E"/>
    <w:rsid w:val="00171ADB"/>
    <w:rsid w:val="00171C28"/>
    <w:rsid w:val="00171C35"/>
    <w:rsid w:val="00171D4E"/>
    <w:rsid w:val="00172050"/>
    <w:rsid w:val="0017272E"/>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57B"/>
    <w:rsid w:val="0017773E"/>
    <w:rsid w:val="00177821"/>
    <w:rsid w:val="00177925"/>
    <w:rsid w:val="001779F1"/>
    <w:rsid w:val="00177A5A"/>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2CE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1C"/>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15"/>
    <w:rsid w:val="001978B3"/>
    <w:rsid w:val="00197DDD"/>
    <w:rsid w:val="00197EC3"/>
    <w:rsid w:val="00197F66"/>
    <w:rsid w:val="001A0233"/>
    <w:rsid w:val="001A0564"/>
    <w:rsid w:val="001A0765"/>
    <w:rsid w:val="001A08CA"/>
    <w:rsid w:val="001A0E3E"/>
    <w:rsid w:val="001A142C"/>
    <w:rsid w:val="001A17B4"/>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1"/>
    <w:rsid w:val="001A49AD"/>
    <w:rsid w:val="001A4AEF"/>
    <w:rsid w:val="001A56AE"/>
    <w:rsid w:val="001A59FC"/>
    <w:rsid w:val="001A5FEB"/>
    <w:rsid w:val="001A6142"/>
    <w:rsid w:val="001A61A2"/>
    <w:rsid w:val="001A61CD"/>
    <w:rsid w:val="001A6555"/>
    <w:rsid w:val="001A67D7"/>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7E"/>
    <w:rsid w:val="001B638D"/>
    <w:rsid w:val="001B6E5A"/>
    <w:rsid w:val="001B751D"/>
    <w:rsid w:val="001B79B9"/>
    <w:rsid w:val="001C0040"/>
    <w:rsid w:val="001C07A6"/>
    <w:rsid w:val="001C0A0E"/>
    <w:rsid w:val="001C0A1D"/>
    <w:rsid w:val="001C0B66"/>
    <w:rsid w:val="001C0C84"/>
    <w:rsid w:val="001C0D3A"/>
    <w:rsid w:val="001C0E7A"/>
    <w:rsid w:val="001C1077"/>
    <w:rsid w:val="001C13C9"/>
    <w:rsid w:val="001C17D6"/>
    <w:rsid w:val="001C1A88"/>
    <w:rsid w:val="001C1D5F"/>
    <w:rsid w:val="001C246E"/>
    <w:rsid w:val="001C248F"/>
    <w:rsid w:val="001C2596"/>
    <w:rsid w:val="001C2727"/>
    <w:rsid w:val="001C2C1E"/>
    <w:rsid w:val="001C2DB5"/>
    <w:rsid w:val="001C3142"/>
    <w:rsid w:val="001C3345"/>
    <w:rsid w:val="001C3443"/>
    <w:rsid w:val="001C354B"/>
    <w:rsid w:val="001C35A0"/>
    <w:rsid w:val="001C389C"/>
    <w:rsid w:val="001C3AD2"/>
    <w:rsid w:val="001C3C2D"/>
    <w:rsid w:val="001C41A5"/>
    <w:rsid w:val="001C41C0"/>
    <w:rsid w:val="001C474D"/>
    <w:rsid w:val="001C5888"/>
    <w:rsid w:val="001C5A40"/>
    <w:rsid w:val="001C5C33"/>
    <w:rsid w:val="001C62B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9D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1E4"/>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650"/>
    <w:rsid w:val="001F0FA3"/>
    <w:rsid w:val="001F1013"/>
    <w:rsid w:val="001F11FD"/>
    <w:rsid w:val="001F1A80"/>
    <w:rsid w:val="001F1F09"/>
    <w:rsid w:val="001F213D"/>
    <w:rsid w:val="001F22FE"/>
    <w:rsid w:val="001F248E"/>
    <w:rsid w:val="001F2D01"/>
    <w:rsid w:val="001F2E90"/>
    <w:rsid w:val="001F3085"/>
    <w:rsid w:val="001F45D7"/>
    <w:rsid w:val="001F4622"/>
    <w:rsid w:val="001F531D"/>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535"/>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052"/>
    <w:rsid w:val="00207261"/>
    <w:rsid w:val="002074D1"/>
    <w:rsid w:val="0020777A"/>
    <w:rsid w:val="00207BBA"/>
    <w:rsid w:val="00207CB0"/>
    <w:rsid w:val="00207FE0"/>
    <w:rsid w:val="00210441"/>
    <w:rsid w:val="002109AD"/>
    <w:rsid w:val="002109C8"/>
    <w:rsid w:val="00210A01"/>
    <w:rsid w:val="00210E29"/>
    <w:rsid w:val="00211309"/>
    <w:rsid w:val="002115B9"/>
    <w:rsid w:val="002120AA"/>
    <w:rsid w:val="002126FF"/>
    <w:rsid w:val="00212756"/>
    <w:rsid w:val="00212D0B"/>
    <w:rsid w:val="00212D81"/>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5E8"/>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2DB3"/>
    <w:rsid w:val="00223371"/>
    <w:rsid w:val="00223856"/>
    <w:rsid w:val="00223995"/>
    <w:rsid w:val="00223D45"/>
    <w:rsid w:val="0022483E"/>
    <w:rsid w:val="002248FB"/>
    <w:rsid w:val="00224B2D"/>
    <w:rsid w:val="00225A82"/>
    <w:rsid w:val="00225AA3"/>
    <w:rsid w:val="00225AD8"/>
    <w:rsid w:val="00225C1D"/>
    <w:rsid w:val="0022622B"/>
    <w:rsid w:val="00227A7E"/>
    <w:rsid w:val="00227FD2"/>
    <w:rsid w:val="002300F1"/>
    <w:rsid w:val="0023042A"/>
    <w:rsid w:val="00230496"/>
    <w:rsid w:val="0023103C"/>
    <w:rsid w:val="00231368"/>
    <w:rsid w:val="00231D48"/>
    <w:rsid w:val="00231F71"/>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46D"/>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77"/>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844"/>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BB1"/>
    <w:rsid w:val="00281C75"/>
    <w:rsid w:val="00282203"/>
    <w:rsid w:val="00282326"/>
    <w:rsid w:val="00282473"/>
    <w:rsid w:val="0028272B"/>
    <w:rsid w:val="0028299C"/>
    <w:rsid w:val="00282E92"/>
    <w:rsid w:val="00282EFB"/>
    <w:rsid w:val="0028307C"/>
    <w:rsid w:val="0028315E"/>
    <w:rsid w:val="002835EB"/>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1F2D"/>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90"/>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03"/>
    <w:rsid w:val="002B3469"/>
    <w:rsid w:val="002B365A"/>
    <w:rsid w:val="002B3797"/>
    <w:rsid w:val="002B37B4"/>
    <w:rsid w:val="002B4452"/>
    <w:rsid w:val="002B476F"/>
    <w:rsid w:val="002B494D"/>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4FF3"/>
    <w:rsid w:val="002E52B6"/>
    <w:rsid w:val="002E592D"/>
    <w:rsid w:val="002E5CE0"/>
    <w:rsid w:val="002E604E"/>
    <w:rsid w:val="002E6A63"/>
    <w:rsid w:val="002E7078"/>
    <w:rsid w:val="002E70F1"/>
    <w:rsid w:val="002E72DC"/>
    <w:rsid w:val="002E743C"/>
    <w:rsid w:val="002E79DF"/>
    <w:rsid w:val="002E7B1F"/>
    <w:rsid w:val="002E7B88"/>
    <w:rsid w:val="002E7CF5"/>
    <w:rsid w:val="002F0722"/>
    <w:rsid w:val="002F0856"/>
    <w:rsid w:val="002F0E1F"/>
    <w:rsid w:val="002F1342"/>
    <w:rsid w:val="002F1377"/>
    <w:rsid w:val="002F16C3"/>
    <w:rsid w:val="002F24C1"/>
    <w:rsid w:val="002F28A6"/>
    <w:rsid w:val="002F2906"/>
    <w:rsid w:val="002F2EE5"/>
    <w:rsid w:val="002F3135"/>
    <w:rsid w:val="002F3158"/>
    <w:rsid w:val="002F37A1"/>
    <w:rsid w:val="002F3C5E"/>
    <w:rsid w:val="002F3E56"/>
    <w:rsid w:val="002F3E9F"/>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D3C"/>
    <w:rsid w:val="0030115C"/>
    <w:rsid w:val="003012A3"/>
    <w:rsid w:val="00301754"/>
    <w:rsid w:val="00301FE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11D"/>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4EA8"/>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CDE"/>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474"/>
    <w:rsid w:val="0034742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1F9"/>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21D"/>
    <w:rsid w:val="003775BD"/>
    <w:rsid w:val="00377DC4"/>
    <w:rsid w:val="00380276"/>
    <w:rsid w:val="0038043D"/>
    <w:rsid w:val="003804E3"/>
    <w:rsid w:val="00380818"/>
    <w:rsid w:val="00380A59"/>
    <w:rsid w:val="00380AD0"/>
    <w:rsid w:val="00380B1C"/>
    <w:rsid w:val="00380BB1"/>
    <w:rsid w:val="00380FE5"/>
    <w:rsid w:val="003814E2"/>
    <w:rsid w:val="0038171E"/>
    <w:rsid w:val="00381855"/>
    <w:rsid w:val="003819D3"/>
    <w:rsid w:val="00381EF3"/>
    <w:rsid w:val="00381FEB"/>
    <w:rsid w:val="00382895"/>
    <w:rsid w:val="003829BA"/>
    <w:rsid w:val="00382B35"/>
    <w:rsid w:val="00382BD2"/>
    <w:rsid w:val="00383080"/>
    <w:rsid w:val="003830B0"/>
    <w:rsid w:val="003832C8"/>
    <w:rsid w:val="00383542"/>
    <w:rsid w:val="00383816"/>
    <w:rsid w:val="00383842"/>
    <w:rsid w:val="00383EE6"/>
    <w:rsid w:val="0038403C"/>
    <w:rsid w:val="00384159"/>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985"/>
    <w:rsid w:val="00395D6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F9"/>
    <w:rsid w:val="003B2F96"/>
    <w:rsid w:val="003B2FDE"/>
    <w:rsid w:val="003B30C1"/>
    <w:rsid w:val="003B3854"/>
    <w:rsid w:val="003B397C"/>
    <w:rsid w:val="003B3F2D"/>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7C1"/>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2A"/>
    <w:rsid w:val="003D1439"/>
    <w:rsid w:val="003D184C"/>
    <w:rsid w:val="003D189E"/>
    <w:rsid w:val="003D1970"/>
    <w:rsid w:val="003D1A22"/>
    <w:rsid w:val="003D1C3A"/>
    <w:rsid w:val="003D1CBC"/>
    <w:rsid w:val="003D2186"/>
    <w:rsid w:val="003D21CB"/>
    <w:rsid w:val="003D2249"/>
    <w:rsid w:val="003D26A0"/>
    <w:rsid w:val="003D272E"/>
    <w:rsid w:val="003D2AD3"/>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4F07"/>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768"/>
    <w:rsid w:val="003E4952"/>
    <w:rsid w:val="003E49E1"/>
    <w:rsid w:val="003E4A4C"/>
    <w:rsid w:val="003E4AA6"/>
    <w:rsid w:val="003E5170"/>
    <w:rsid w:val="003E54BD"/>
    <w:rsid w:val="003E5793"/>
    <w:rsid w:val="003E59AE"/>
    <w:rsid w:val="003E5BB5"/>
    <w:rsid w:val="003E5D73"/>
    <w:rsid w:val="003E5E1A"/>
    <w:rsid w:val="003E619D"/>
    <w:rsid w:val="003E628E"/>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2BC2"/>
    <w:rsid w:val="003F3162"/>
    <w:rsid w:val="003F32DA"/>
    <w:rsid w:val="003F34FA"/>
    <w:rsid w:val="003F361F"/>
    <w:rsid w:val="003F3A87"/>
    <w:rsid w:val="003F3A9B"/>
    <w:rsid w:val="003F3CCF"/>
    <w:rsid w:val="003F3CFC"/>
    <w:rsid w:val="003F3D22"/>
    <w:rsid w:val="003F3D5D"/>
    <w:rsid w:val="003F3E1A"/>
    <w:rsid w:val="003F407A"/>
    <w:rsid w:val="003F5D44"/>
    <w:rsid w:val="003F5DD4"/>
    <w:rsid w:val="003F5F78"/>
    <w:rsid w:val="003F5FAC"/>
    <w:rsid w:val="003F6214"/>
    <w:rsid w:val="003F6939"/>
    <w:rsid w:val="003F6A57"/>
    <w:rsid w:val="003F6DA7"/>
    <w:rsid w:val="003F6EA9"/>
    <w:rsid w:val="003F72DA"/>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2D6"/>
    <w:rsid w:val="00412968"/>
    <w:rsid w:val="0041296F"/>
    <w:rsid w:val="00412CC1"/>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4B2"/>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3E70"/>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1F4C"/>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A60"/>
    <w:rsid w:val="00436C0C"/>
    <w:rsid w:val="00436C79"/>
    <w:rsid w:val="0043709F"/>
    <w:rsid w:val="00437265"/>
    <w:rsid w:val="0043730F"/>
    <w:rsid w:val="0043731B"/>
    <w:rsid w:val="00437664"/>
    <w:rsid w:val="0043782E"/>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AF5"/>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321"/>
    <w:rsid w:val="004634D8"/>
    <w:rsid w:val="00463B51"/>
    <w:rsid w:val="00463D61"/>
    <w:rsid w:val="00463D93"/>
    <w:rsid w:val="00463DC8"/>
    <w:rsid w:val="00463EB9"/>
    <w:rsid w:val="00463F0B"/>
    <w:rsid w:val="004643A5"/>
    <w:rsid w:val="004646F1"/>
    <w:rsid w:val="00464A35"/>
    <w:rsid w:val="00465024"/>
    <w:rsid w:val="00465204"/>
    <w:rsid w:val="00465526"/>
    <w:rsid w:val="004657F2"/>
    <w:rsid w:val="00465866"/>
    <w:rsid w:val="00465A59"/>
    <w:rsid w:val="00465C5A"/>
    <w:rsid w:val="00466160"/>
    <w:rsid w:val="00466349"/>
    <w:rsid w:val="00466494"/>
    <w:rsid w:val="00466576"/>
    <w:rsid w:val="004671B4"/>
    <w:rsid w:val="004678A0"/>
    <w:rsid w:val="00467C6B"/>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8E7"/>
    <w:rsid w:val="00480289"/>
    <w:rsid w:val="004802C3"/>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BB8"/>
    <w:rsid w:val="004A3CC5"/>
    <w:rsid w:val="004A43C9"/>
    <w:rsid w:val="004A47B0"/>
    <w:rsid w:val="004A48A7"/>
    <w:rsid w:val="004A4FCC"/>
    <w:rsid w:val="004A5532"/>
    <w:rsid w:val="004A573B"/>
    <w:rsid w:val="004A5850"/>
    <w:rsid w:val="004A5A33"/>
    <w:rsid w:val="004A5D2E"/>
    <w:rsid w:val="004A6359"/>
    <w:rsid w:val="004A63EA"/>
    <w:rsid w:val="004A6453"/>
    <w:rsid w:val="004A6917"/>
    <w:rsid w:val="004A7028"/>
    <w:rsid w:val="004A70FE"/>
    <w:rsid w:val="004A772A"/>
    <w:rsid w:val="004A7B45"/>
    <w:rsid w:val="004B03D6"/>
    <w:rsid w:val="004B05A1"/>
    <w:rsid w:val="004B0828"/>
    <w:rsid w:val="004B09C2"/>
    <w:rsid w:val="004B0BA4"/>
    <w:rsid w:val="004B10AE"/>
    <w:rsid w:val="004B1135"/>
    <w:rsid w:val="004B14A5"/>
    <w:rsid w:val="004B1BB2"/>
    <w:rsid w:val="004B1C43"/>
    <w:rsid w:val="004B1D2F"/>
    <w:rsid w:val="004B1EAB"/>
    <w:rsid w:val="004B1EE3"/>
    <w:rsid w:val="004B2178"/>
    <w:rsid w:val="004B22AD"/>
    <w:rsid w:val="004B22F8"/>
    <w:rsid w:val="004B2626"/>
    <w:rsid w:val="004B266E"/>
    <w:rsid w:val="004B2C61"/>
    <w:rsid w:val="004B2F42"/>
    <w:rsid w:val="004B2F65"/>
    <w:rsid w:val="004B36F7"/>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B7E"/>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794"/>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03E"/>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6F6B"/>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849"/>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7D6"/>
    <w:rsid w:val="00507C32"/>
    <w:rsid w:val="00507FE4"/>
    <w:rsid w:val="005103AB"/>
    <w:rsid w:val="00510681"/>
    <w:rsid w:val="00510C4C"/>
    <w:rsid w:val="005119B6"/>
    <w:rsid w:val="00511AC7"/>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00D"/>
    <w:rsid w:val="00522823"/>
    <w:rsid w:val="0052283A"/>
    <w:rsid w:val="005228CA"/>
    <w:rsid w:val="00522A3F"/>
    <w:rsid w:val="00523210"/>
    <w:rsid w:val="005234A6"/>
    <w:rsid w:val="005234BA"/>
    <w:rsid w:val="00523511"/>
    <w:rsid w:val="00523922"/>
    <w:rsid w:val="00523C1D"/>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4C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AC1"/>
    <w:rsid w:val="00533D6C"/>
    <w:rsid w:val="00534246"/>
    <w:rsid w:val="0053473E"/>
    <w:rsid w:val="00534755"/>
    <w:rsid w:val="00534892"/>
    <w:rsid w:val="00534964"/>
    <w:rsid w:val="0053501E"/>
    <w:rsid w:val="00535BAB"/>
    <w:rsid w:val="00535BEA"/>
    <w:rsid w:val="00535D8F"/>
    <w:rsid w:val="00535DDF"/>
    <w:rsid w:val="0053617E"/>
    <w:rsid w:val="005361B1"/>
    <w:rsid w:val="005363F7"/>
    <w:rsid w:val="00536A16"/>
    <w:rsid w:val="00536C23"/>
    <w:rsid w:val="00536EC0"/>
    <w:rsid w:val="00536FB3"/>
    <w:rsid w:val="00537125"/>
    <w:rsid w:val="00537523"/>
    <w:rsid w:val="00537617"/>
    <w:rsid w:val="005379E5"/>
    <w:rsid w:val="005404AA"/>
    <w:rsid w:val="005408CA"/>
    <w:rsid w:val="005411AD"/>
    <w:rsid w:val="005412D3"/>
    <w:rsid w:val="005416A3"/>
    <w:rsid w:val="00541718"/>
    <w:rsid w:val="00541DF0"/>
    <w:rsid w:val="00541E94"/>
    <w:rsid w:val="00541EE2"/>
    <w:rsid w:val="005425C1"/>
    <w:rsid w:val="005426BE"/>
    <w:rsid w:val="00542DDA"/>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16"/>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305"/>
    <w:rsid w:val="0055473A"/>
    <w:rsid w:val="00554812"/>
    <w:rsid w:val="005549B2"/>
    <w:rsid w:val="00554B33"/>
    <w:rsid w:val="005553F4"/>
    <w:rsid w:val="0055544E"/>
    <w:rsid w:val="00555766"/>
    <w:rsid w:val="00555CE6"/>
    <w:rsid w:val="00555DFD"/>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C01"/>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8D4"/>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154"/>
    <w:rsid w:val="005764A6"/>
    <w:rsid w:val="00576509"/>
    <w:rsid w:val="005767D2"/>
    <w:rsid w:val="005769A4"/>
    <w:rsid w:val="00576A32"/>
    <w:rsid w:val="00576CC9"/>
    <w:rsid w:val="00576E7F"/>
    <w:rsid w:val="005772CC"/>
    <w:rsid w:val="005772DD"/>
    <w:rsid w:val="00577823"/>
    <w:rsid w:val="00577D97"/>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38"/>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195"/>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39A"/>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444"/>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63"/>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688"/>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67A4"/>
    <w:rsid w:val="005E7397"/>
    <w:rsid w:val="005E75A5"/>
    <w:rsid w:val="005E75EF"/>
    <w:rsid w:val="005E773A"/>
    <w:rsid w:val="005E798F"/>
    <w:rsid w:val="005E7F6B"/>
    <w:rsid w:val="005E7F8E"/>
    <w:rsid w:val="005F068E"/>
    <w:rsid w:val="005F0692"/>
    <w:rsid w:val="005F0858"/>
    <w:rsid w:val="005F08EC"/>
    <w:rsid w:val="005F0905"/>
    <w:rsid w:val="005F092A"/>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291"/>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0CC0"/>
    <w:rsid w:val="00601DC9"/>
    <w:rsid w:val="00601E1A"/>
    <w:rsid w:val="0060250A"/>
    <w:rsid w:val="006025EC"/>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4EBF"/>
    <w:rsid w:val="0061537E"/>
    <w:rsid w:val="006155D2"/>
    <w:rsid w:val="00615632"/>
    <w:rsid w:val="00615635"/>
    <w:rsid w:val="0061566B"/>
    <w:rsid w:val="006159BB"/>
    <w:rsid w:val="00615C27"/>
    <w:rsid w:val="00615DC8"/>
    <w:rsid w:val="00615FC4"/>
    <w:rsid w:val="0061703D"/>
    <w:rsid w:val="00617286"/>
    <w:rsid w:val="006173E9"/>
    <w:rsid w:val="006179BC"/>
    <w:rsid w:val="00617A59"/>
    <w:rsid w:val="00617ACE"/>
    <w:rsid w:val="00617B3A"/>
    <w:rsid w:val="00617BE0"/>
    <w:rsid w:val="00620355"/>
    <w:rsid w:val="0062053D"/>
    <w:rsid w:val="0062065A"/>
    <w:rsid w:val="00620AB0"/>
    <w:rsid w:val="00620CA1"/>
    <w:rsid w:val="00620DE5"/>
    <w:rsid w:val="006216A1"/>
    <w:rsid w:val="00621A29"/>
    <w:rsid w:val="00621A3B"/>
    <w:rsid w:val="00621A55"/>
    <w:rsid w:val="00621F77"/>
    <w:rsid w:val="00622031"/>
    <w:rsid w:val="006222DC"/>
    <w:rsid w:val="00622313"/>
    <w:rsid w:val="0062273D"/>
    <w:rsid w:val="006228EE"/>
    <w:rsid w:val="00622CAF"/>
    <w:rsid w:val="0062307B"/>
    <w:rsid w:val="00623636"/>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AB1"/>
    <w:rsid w:val="00625CEC"/>
    <w:rsid w:val="00626123"/>
    <w:rsid w:val="00626812"/>
    <w:rsid w:val="00626ADF"/>
    <w:rsid w:val="00626C8B"/>
    <w:rsid w:val="00626E02"/>
    <w:rsid w:val="00626FB2"/>
    <w:rsid w:val="006276FA"/>
    <w:rsid w:val="00627887"/>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3DE"/>
    <w:rsid w:val="00636651"/>
    <w:rsid w:val="006366CC"/>
    <w:rsid w:val="00636875"/>
    <w:rsid w:val="00636A2D"/>
    <w:rsid w:val="00636B0C"/>
    <w:rsid w:val="00636C4A"/>
    <w:rsid w:val="00636C95"/>
    <w:rsid w:val="00636DA9"/>
    <w:rsid w:val="00636F90"/>
    <w:rsid w:val="00636FC4"/>
    <w:rsid w:val="006371E6"/>
    <w:rsid w:val="006376F4"/>
    <w:rsid w:val="006378ED"/>
    <w:rsid w:val="00637B95"/>
    <w:rsid w:val="00637D79"/>
    <w:rsid w:val="006402F2"/>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4D08"/>
    <w:rsid w:val="006455B1"/>
    <w:rsid w:val="00645B59"/>
    <w:rsid w:val="00645D89"/>
    <w:rsid w:val="00646044"/>
    <w:rsid w:val="006465A2"/>
    <w:rsid w:val="006466BF"/>
    <w:rsid w:val="006473AA"/>
    <w:rsid w:val="006478AD"/>
    <w:rsid w:val="00647985"/>
    <w:rsid w:val="00647EBC"/>
    <w:rsid w:val="006503ED"/>
    <w:rsid w:val="006505BC"/>
    <w:rsid w:val="00650AC1"/>
    <w:rsid w:val="00650CDE"/>
    <w:rsid w:val="00650F72"/>
    <w:rsid w:val="00651027"/>
    <w:rsid w:val="00651221"/>
    <w:rsid w:val="006513A9"/>
    <w:rsid w:val="00651406"/>
    <w:rsid w:val="006516CF"/>
    <w:rsid w:val="006516D5"/>
    <w:rsid w:val="006519DE"/>
    <w:rsid w:val="00651B97"/>
    <w:rsid w:val="00651FC1"/>
    <w:rsid w:val="00651FDE"/>
    <w:rsid w:val="00652294"/>
    <w:rsid w:val="00652315"/>
    <w:rsid w:val="0065249C"/>
    <w:rsid w:val="00652532"/>
    <w:rsid w:val="006527A5"/>
    <w:rsid w:val="00652BA4"/>
    <w:rsid w:val="00652C8B"/>
    <w:rsid w:val="00652D6E"/>
    <w:rsid w:val="0065318D"/>
    <w:rsid w:val="0065320D"/>
    <w:rsid w:val="00653375"/>
    <w:rsid w:val="00653950"/>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8A2"/>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9"/>
    <w:rsid w:val="006C506F"/>
    <w:rsid w:val="006C5076"/>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30D"/>
    <w:rsid w:val="006D24BF"/>
    <w:rsid w:val="006D2627"/>
    <w:rsid w:val="006D2815"/>
    <w:rsid w:val="006D2C08"/>
    <w:rsid w:val="006D2CF2"/>
    <w:rsid w:val="006D2F1A"/>
    <w:rsid w:val="006D3AC1"/>
    <w:rsid w:val="006D3C90"/>
    <w:rsid w:val="006D3FDA"/>
    <w:rsid w:val="006D4115"/>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0D6"/>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36F"/>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ED5"/>
    <w:rsid w:val="00701025"/>
    <w:rsid w:val="0070151F"/>
    <w:rsid w:val="0070159A"/>
    <w:rsid w:val="00701E75"/>
    <w:rsid w:val="00701F98"/>
    <w:rsid w:val="00702324"/>
    <w:rsid w:val="00702770"/>
    <w:rsid w:val="007027AE"/>
    <w:rsid w:val="0070289C"/>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319"/>
    <w:rsid w:val="0071058C"/>
    <w:rsid w:val="0071061D"/>
    <w:rsid w:val="00710650"/>
    <w:rsid w:val="00710E0E"/>
    <w:rsid w:val="00710F50"/>
    <w:rsid w:val="00710FA3"/>
    <w:rsid w:val="00711897"/>
    <w:rsid w:val="00711AEC"/>
    <w:rsid w:val="00711CD5"/>
    <w:rsid w:val="00712402"/>
    <w:rsid w:val="007124D4"/>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046"/>
    <w:rsid w:val="0072031E"/>
    <w:rsid w:val="0072042D"/>
    <w:rsid w:val="00720773"/>
    <w:rsid w:val="00720879"/>
    <w:rsid w:val="00720A75"/>
    <w:rsid w:val="00720B35"/>
    <w:rsid w:val="00720D25"/>
    <w:rsid w:val="00720E6A"/>
    <w:rsid w:val="00720FAF"/>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DA7"/>
    <w:rsid w:val="00726224"/>
    <w:rsid w:val="0072631F"/>
    <w:rsid w:val="007263BE"/>
    <w:rsid w:val="00726796"/>
    <w:rsid w:val="00726A4B"/>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E02"/>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0E9"/>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27D"/>
    <w:rsid w:val="00747385"/>
    <w:rsid w:val="00747742"/>
    <w:rsid w:val="00747883"/>
    <w:rsid w:val="007479F9"/>
    <w:rsid w:val="00750319"/>
    <w:rsid w:val="0075042E"/>
    <w:rsid w:val="00750C2A"/>
    <w:rsid w:val="00750CB3"/>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B9"/>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0F62"/>
    <w:rsid w:val="0076159B"/>
    <w:rsid w:val="00761804"/>
    <w:rsid w:val="00761854"/>
    <w:rsid w:val="00761BE7"/>
    <w:rsid w:val="00761CC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8C1"/>
    <w:rsid w:val="00763A65"/>
    <w:rsid w:val="00763B29"/>
    <w:rsid w:val="00763E85"/>
    <w:rsid w:val="0076422A"/>
    <w:rsid w:val="00764457"/>
    <w:rsid w:val="007645E8"/>
    <w:rsid w:val="007646A4"/>
    <w:rsid w:val="007654EB"/>
    <w:rsid w:val="0076564A"/>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7DE"/>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77B7B"/>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C8B"/>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E86"/>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7FC"/>
    <w:rsid w:val="007A69CE"/>
    <w:rsid w:val="007A6CD1"/>
    <w:rsid w:val="007A6D40"/>
    <w:rsid w:val="007A6EED"/>
    <w:rsid w:val="007A70A6"/>
    <w:rsid w:val="007A7121"/>
    <w:rsid w:val="007A7924"/>
    <w:rsid w:val="007A796A"/>
    <w:rsid w:val="007A7B80"/>
    <w:rsid w:val="007A7D29"/>
    <w:rsid w:val="007B01C4"/>
    <w:rsid w:val="007B0257"/>
    <w:rsid w:val="007B046A"/>
    <w:rsid w:val="007B05E0"/>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0BE"/>
    <w:rsid w:val="007B5609"/>
    <w:rsid w:val="007B5636"/>
    <w:rsid w:val="007B5665"/>
    <w:rsid w:val="007B573C"/>
    <w:rsid w:val="007B5762"/>
    <w:rsid w:val="007B5AD0"/>
    <w:rsid w:val="007B6121"/>
    <w:rsid w:val="007B62CF"/>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39D"/>
    <w:rsid w:val="007C2637"/>
    <w:rsid w:val="007C2E61"/>
    <w:rsid w:val="007C2FD7"/>
    <w:rsid w:val="007C317B"/>
    <w:rsid w:val="007C32C2"/>
    <w:rsid w:val="007C337A"/>
    <w:rsid w:val="007C3A9F"/>
    <w:rsid w:val="007C4277"/>
    <w:rsid w:val="007C4315"/>
    <w:rsid w:val="007C4528"/>
    <w:rsid w:val="007C4659"/>
    <w:rsid w:val="007C484A"/>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60"/>
    <w:rsid w:val="007C7089"/>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AA0"/>
    <w:rsid w:val="007E1F2E"/>
    <w:rsid w:val="007E200D"/>
    <w:rsid w:val="007E2559"/>
    <w:rsid w:val="007E2887"/>
    <w:rsid w:val="007E2F11"/>
    <w:rsid w:val="007E2F87"/>
    <w:rsid w:val="007E368E"/>
    <w:rsid w:val="007E38E6"/>
    <w:rsid w:val="007E3A0C"/>
    <w:rsid w:val="007E3B03"/>
    <w:rsid w:val="007E3DCB"/>
    <w:rsid w:val="007E3DDB"/>
    <w:rsid w:val="007E4087"/>
    <w:rsid w:val="007E42F9"/>
    <w:rsid w:val="007E4521"/>
    <w:rsid w:val="007E4580"/>
    <w:rsid w:val="007E4614"/>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11"/>
    <w:rsid w:val="007E738C"/>
    <w:rsid w:val="007E74A0"/>
    <w:rsid w:val="007E76BC"/>
    <w:rsid w:val="007F00F0"/>
    <w:rsid w:val="007F026F"/>
    <w:rsid w:val="007F064B"/>
    <w:rsid w:val="007F086A"/>
    <w:rsid w:val="007F0A18"/>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40E"/>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35"/>
    <w:rsid w:val="0081169D"/>
    <w:rsid w:val="008119FF"/>
    <w:rsid w:val="00811BCF"/>
    <w:rsid w:val="008121F7"/>
    <w:rsid w:val="00812886"/>
    <w:rsid w:val="00812E87"/>
    <w:rsid w:val="008133EF"/>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BD5"/>
    <w:rsid w:val="00823E41"/>
    <w:rsid w:val="008248E2"/>
    <w:rsid w:val="00824EDE"/>
    <w:rsid w:val="00825204"/>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D27"/>
    <w:rsid w:val="00832538"/>
    <w:rsid w:val="00832606"/>
    <w:rsid w:val="00832E6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8DA"/>
    <w:rsid w:val="00860316"/>
    <w:rsid w:val="00860370"/>
    <w:rsid w:val="00861052"/>
    <w:rsid w:val="00861453"/>
    <w:rsid w:val="008614A9"/>
    <w:rsid w:val="0086167E"/>
    <w:rsid w:val="00861692"/>
    <w:rsid w:val="008619DB"/>
    <w:rsid w:val="00862155"/>
    <w:rsid w:val="0086224A"/>
    <w:rsid w:val="008624B3"/>
    <w:rsid w:val="008625E7"/>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AD3"/>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46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87"/>
    <w:rsid w:val="008956A0"/>
    <w:rsid w:val="00895B15"/>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60"/>
    <w:rsid w:val="008A4BE3"/>
    <w:rsid w:val="008A4C6D"/>
    <w:rsid w:val="008A4EFC"/>
    <w:rsid w:val="008A5283"/>
    <w:rsid w:val="008A529C"/>
    <w:rsid w:val="008A56EC"/>
    <w:rsid w:val="008A578F"/>
    <w:rsid w:val="008A5C9D"/>
    <w:rsid w:val="008A5EB1"/>
    <w:rsid w:val="008A60EF"/>
    <w:rsid w:val="008A62C8"/>
    <w:rsid w:val="008A67BD"/>
    <w:rsid w:val="008A68DA"/>
    <w:rsid w:val="008A6C0F"/>
    <w:rsid w:val="008A6D9E"/>
    <w:rsid w:val="008A707E"/>
    <w:rsid w:val="008A7480"/>
    <w:rsid w:val="008A749F"/>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6A"/>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5E4"/>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2AF"/>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0B9"/>
    <w:rsid w:val="008F623B"/>
    <w:rsid w:val="008F6300"/>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24D"/>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21E"/>
    <w:rsid w:val="0091127B"/>
    <w:rsid w:val="0091152E"/>
    <w:rsid w:val="00911626"/>
    <w:rsid w:val="0091172E"/>
    <w:rsid w:val="00911984"/>
    <w:rsid w:val="0091199D"/>
    <w:rsid w:val="00911C69"/>
    <w:rsid w:val="00911F96"/>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0626"/>
    <w:rsid w:val="009212C6"/>
    <w:rsid w:val="009218EB"/>
    <w:rsid w:val="009219D3"/>
    <w:rsid w:val="00921B64"/>
    <w:rsid w:val="00921BC4"/>
    <w:rsid w:val="00921C3C"/>
    <w:rsid w:val="00921C9F"/>
    <w:rsid w:val="00921CAB"/>
    <w:rsid w:val="00922286"/>
    <w:rsid w:val="00922F43"/>
    <w:rsid w:val="00923055"/>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2363"/>
    <w:rsid w:val="0093266F"/>
    <w:rsid w:val="0093277F"/>
    <w:rsid w:val="00932BE6"/>
    <w:rsid w:val="00932EE8"/>
    <w:rsid w:val="00932F3A"/>
    <w:rsid w:val="00932FCD"/>
    <w:rsid w:val="00933484"/>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EDC"/>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4BC9"/>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5E9D"/>
    <w:rsid w:val="009561FF"/>
    <w:rsid w:val="00956271"/>
    <w:rsid w:val="00956345"/>
    <w:rsid w:val="00956826"/>
    <w:rsid w:val="00956910"/>
    <w:rsid w:val="00956E12"/>
    <w:rsid w:val="00956E4C"/>
    <w:rsid w:val="00956FC7"/>
    <w:rsid w:val="009571F3"/>
    <w:rsid w:val="00957213"/>
    <w:rsid w:val="00957240"/>
    <w:rsid w:val="00957394"/>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67B50"/>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0CC"/>
    <w:rsid w:val="009801E1"/>
    <w:rsid w:val="009802C0"/>
    <w:rsid w:val="00980958"/>
    <w:rsid w:val="00980E45"/>
    <w:rsid w:val="00980F1A"/>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BA6"/>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3E0"/>
    <w:rsid w:val="009A6494"/>
    <w:rsid w:val="009A6890"/>
    <w:rsid w:val="009A68EF"/>
    <w:rsid w:val="009A6A96"/>
    <w:rsid w:val="009A6BFB"/>
    <w:rsid w:val="009A6C9A"/>
    <w:rsid w:val="009A7272"/>
    <w:rsid w:val="009A76B7"/>
    <w:rsid w:val="009B02A8"/>
    <w:rsid w:val="009B0352"/>
    <w:rsid w:val="009B082C"/>
    <w:rsid w:val="009B0A9F"/>
    <w:rsid w:val="009B0E02"/>
    <w:rsid w:val="009B0E6F"/>
    <w:rsid w:val="009B0E99"/>
    <w:rsid w:val="009B10BC"/>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4A5"/>
    <w:rsid w:val="009D077B"/>
    <w:rsid w:val="009D0C5F"/>
    <w:rsid w:val="009D0CDF"/>
    <w:rsid w:val="009D0E68"/>
    <w:rsid w:val="009D1011"/>
    <w:rsid w:val="009D12A5"/>
    <w:rsid w:val="009D1314"/>
    <w:rsid w:val="009D167F"/>
    <w:rsid w:val="009D1B39"/>
    <w:rsid w:val="009D1B6C"/>
    <w:rsid w:val="009D1B72"/>
    <w:rsid w:val="009D1E35"/>
    <w:rsid w:val="009D1F7D"/>
    <w:rsid w:val="009D2198"/>
    <w:rsid w:val="009D21E2"/>
    <w:rsid w:val="009D25BA"/>
    <w:rsid w:val="009D25C2"/>
    <w:rsid w:val="009D2612"/>
    <w:rsid w:val="009D2794"/>
    <w:rsid w:val="009D2A9B"/>
    <w:rsid w:val="009D2CBB"/>
    <w:rsid w:val="009D32B2"/>
    <w:rsid w:val="009D3516"/>
    <w:rsid w:val="009D3BB1"/>
    <w:rsid w:val="009D3FDD"/>
    <w:rsid w:val="009D4188"/>
    <w:rsid w:val="009D4710"/>
    <w:rsid w:val="009D47F9"/>
    <w:rsid w:val="009D4C1C"/>
    <w:rsid w:val="009D4D97"/>
    <w:rsid w:val="009D4F43"/>
    <w:rsid w:val="009D5104"/>
    <w:rsid w:val="009D511D"/>
    <w:rsid w:val="009D51E4"/>
    <w:rsid w:val="009D5343"/>
    <w:rsid w:val="009D5446"/>
    <w:rsid w:val="009D54B9"/>
    <w:rsid w:val="009D56CC"/>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10F"/>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2A82"/>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37D"/>
    <w:rsid w:val="00A103E4"/>
    <w:rsid w:val="00A104C1"/>
    <w:rsid w:val="00A107C8"/>
    <w:rsid w:val="00A10932"/>
    <w:rsid w:val="00A109BA"/>
    <w:rsid w:val="00A10CA5"/>
    <w:rsid w:val="00A10CC0"/>
    <w:rsid w:val="00A11409"/>
    <w:rsid w:val="00A11439"/>
    <w:rsid w:val="00A114AC"/>
    <w:rsid w:val="00A1174E"/>
    <w:rsid w:val="00A11F60"/>
    <w:rsid w:val="00A12115"/>
    <w:rsid w:val="00A121DD"/>
    <w:rsid w:val="00A12469"/>
    <w:rsid w:val="00A12575"/>
    <w:rsid w:val="00A12878"/>
    <w:rsid w:val="00A129BD"/>
    <w:rsid w:val="00A12D19"/>
    <w:rsid w:val="00A12F6F"/>
    <w:rsid w:val="00A131BD"/>
    <w:rsid w:val="00A13361"/>
    <w:rsid w:val="00A13A43"/>
    <w:rsid w:val="00A13BA0"/>
    <w:rsid w:val="00A13E02"/>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E64"/>
    <w:rsid w:val="00A34301"/>
    <w:rsid w:val="00A343EB"/>
    <w:rsid w:val="00A3468B"/>
    <w:rsid w:val="00A347DC"/>
    <w:rsid w:val="00A34DAE"/>
    <w:rsid w:val="00A34E04"/>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B65"/>
    <w:rsid w:val="00A53D71"/>
    <w:rsid w:val="00A54E2E"/>
    <w:rsid w:val="00A54F76"/>
    <w:rsid w:val="00A54FFA"/>
    <w:rsid w:val="00A5505C"/>
    <w:rsid w:val="00A55060"/>
    <w:rsid w:val="00A55112"/>
    <w:rsid w:val="00A555AB"/>
    <w:rsid w:val="00A55D02"/>
    <w:rsid w:val="00A56209"/>
    <w:rsid w:val="00A567EB"/>
    <w:rsid w:val="00A56E83"/>
    <w:rsid w:val="00A57143"/>
    <w:rsid w:val="00A572FF"/>
    <w:rsid w:val="00A5756C"/>
    <w:rsid w:val="00A575EF"/>
    <w:rsid w:val="00A57B43"/>
    <w:rsid w:val="00A57B6B"/>
    <w:rsid w:val="00A57E8E"/>
    <w:rsid w:val="00A6004F"/>
    <w:rsid w:val="00A601CA"/>
    <w:rsid w:val="00A602F0"/>
    <w:rsid w:val="00A60372"/>
    <w:rsid w:val="00A60378"/>
    <w:rsid w:val="00A60813"/>
    <w:rsid w:val="00A60839"/>
    <w:rsid w:val="00A608F9"/>
    <w:rsid w:val="00A60A38"/>
    <w:rsid w:val="00A60A42"/>
    <w:rsid w:val="00A60DCA"/>
    <w:rsid w:val="00A60E38"/>
    <w:rsid w:val="00A61106"/>
    <w:rsid w:val="00A6130F"/>
    <w:rsid w:val="00A61972"/>
    <w:rsid w:val="00A61A03"/>
    <w:rsid w:val="00A61A12"/>
    <w:rsid w:val="00A623BE"/>
    <w:rsid w:val="00A628BD"/>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1C"/>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1FCB"/>
    <w:rsid w:val="00A824D3"/>
    <w:rsid w:val="00A82920"/>
    <w:rsid w:val="00A829AD"/>
    <w:rsid w:val="00A82A5B"/>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4C1C"/>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4A"/>
    <w:rsid w:val="00AC1795"/>
    <w:rsid w:val="00AC197D"/>
    <w:rsid w:val="00AC1DFF"/>
    <w:rsid w:val="00AC202A"/>
    <w:rsid w:val="00AC233C"/>
    <w:rsid w:val="00AC2635"/>
    <w:rsid w:val="00AC2C7E"/>
    <w:rsid w:val="00AC2F33"/>
    <w:rsid w:val="00AC336A"/>
    <w:rsid w:val="00AC33B1"/>
    <w:rsid w:val="00AC3808"/>
    <w:rsid w:val="00AC3997"/>
    <w:rsid w:val="00AC3F6F"/>
    <w:rsid w:val="00AC4298"/>
    <w:rsid w:val="00AC4825"/>
    <w:rsid w:val="00AC488D"/>
    <w:rsid w:val="00AC4BB9"/>
    <w:rsid w:val="00AC4E24"/>
    <w:rsid w:val="00AC4EEE"/>
    <w:rsid w:val="00AC53B7"/>
    <w:rsid w:val="00AC54F4"/>
    <w:rsid w:val="00AC576B"/>
    <w:rsid w:val="00AC582B"/>
    <w:rsid w:val="00AC58ED"/>
    <w:rsid w:val="00AC5D8D"/>
    <w:rsid w:val="00AC6023"/>
    <w:rsid w:val="00AC6485"/>
    <w:rsid w:val="00AC64F9"/>
    <w:rsid w:val="00AC67B9"/>
    <w:rsid w:val="00AC6FAC"/>
    <w:rsid w:val="00AD02A1"/>
    <w:rsid w:val="00AD06F3"/>
    <w:rsid w:val="00AD112E"/>
    <w:rsid w:val="00AD1133"/>
    <w:rsid w:val="00AD13C8"/>
    <w:rsid w:val="00AD1557"/>
    <w:rsid w:val="00AD1F34"/>
    <w:rsid w:val="00AD20AF"/>
    <w:rsid w:val="00AD2288"/>
    <w:rsid w:val="00AD2410"/>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D73EA"/>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C11"/>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7D1"/>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23F"/>
    <w:rsid w:val="00B0078E"/>
    <w:rsid w:val="00B01415"/>
    <w:rsid w:val="00B0151E"/>
    <w:rsid w:val="00B015D1"/>
    <w:rsid w:val="00B01DE0"/>
    <w:rsid w:val="00B01E17"/>
    <w:rsid w:val="00B01E1A"/>
    <w:rsid w:val="00B01FC0"/>
    <w:rsid w:val="00B02B41"/>
    <w:rsid w:val="00B02BF3"/>
    <w:rsid w:val="00B03952"/>
    <w:rsid w:val="00B039DF"/>
    <w:rsid w:val="00B03A66"/>
    <w:rsid w:val="00B03D71"/>
    <w:rsid w:val="00B03DE3"/>
    <w:rsid w:val="00B04259"/>
    <w:rsid w:val="00B04307"/>
    <w:rsid w:val="00B043F8"/>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DC5"/>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7133"/>
    <w:rsid w:val="00B2776E"/>
    <w:rsid w:val="00B27DB9"/>
    <w:rsid w:val="00B27FD3"/>
    <w:rsid w:val="00B30197"/>
    <w:rsid w:val="00B30521"/>
    <w:rsid w:val="00B30E27"/>
    <w:rsid w:val="00B30F91"/>
    <w:rsid w:val="00B31CA5"/>
    <w:rsid w:val="00B31EB2"/>
    <w:rsid w:val="00B31EEB"/>
    <w:rsid w:val="00B3245C"/>
    <w:rsid w:val="00B3262C"/>
    <w:rsid w:val="00B32898"/>
    <w:rsid w:val="00B329B2"/>
    <w:rsid w:val="00B32CB7"/>
    <w:rsid w:val="00B32D1A"/>
    <w:rsid w:val="00B32E13"/>
    <w:rsid w:val="00B339F9"/>
    <w:rsid w:val="00B33C85"/>
    <w:rsid w:val="00B3444B"/>
    <w:rsid w:val="00B34479"/>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2EA4"/>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1D4E"/>
    <w:rsid w:val="00B520A4"/>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E21"/>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11"/>
    <w:rsid w:val="00B66BB5"/>
    <w:rsid w:val="00B673D0"/>
    <w:rsid w:val="00B67445"/>
    <w:rsid w:val="00B674FB"/>
    <w:rsid w:val="00B6773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1D7"/>
    <w:rsid w:val="00B965C9"/>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A72EA"/>
    <w:rsid w:val="00BA75E3"/>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9D"/>
    <w:rsid w:val="00BC0EF5"/>
    <w:rsid w:val="00BC0F5B"/>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335"/>
    <w:rsid w:val="00BC5444"/>
    <w:rsid w:val="00BC5930"/>
    <w:rsid w:val="00BC5BEF"/>
    <w:rsid w:val="00BC5C96"/>
    <w:rsid w:val="00BC608C"/>
    <w:rsid w:val="00BC6166"/>
    <w:rsid w:val="00BC67C6"/>
    <w:rsid w:val="00BC6E48"/>
    <w:rsid w:val="00BC6E55"/>
    <w:rsid w:val="00BC7673"/>
    <w:rsid w:val="00BC77CE"/>
    <w:rsid w:val="00BC7B45"/>
    <w:rsid w:val="00BD005C"/>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219"/>
    <w:rsid w:val="00BD55B3"/>
    <w:rsid w:val="00BD59CF"/>
    <w:rsid w:val="00BD5A30"/>
    <w:rsid w:val="00BD6040"/>
    <w:rsid w:val="00BD6448"/>
    <w:rsid w:val="00BD6DD6"/>
    <w:rsid w:val="00BD7095"/>
    <w:rsid w:val="00BD7210"/>
    <w:rsid w:val="00BD757C"/>
    <w:rsid w:val="00BD796B"/>
    <w:rsid w:val="00BE003F"/>
    <w:rsid w:val="00BE0111"/>
    <w:rsid w:val="00BE0276"/>
    <w:rsid w:val="00BE035F"/>
    <w:rsid w:val="00BE0895"/>
    <w:rsid w:val="00BE0EA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2E1"/>
    <w:rsid w:val="00BE4383"/>
    <w:rsid w:val="00BE43B0"/>
    <w:rsid w:val="00BE48FD"/>
    <w:rsid w:val="00BE4935"/>
    <w:rsid w:val="00BE51E1"/>
    <w:rsid w:val="00BE520B"/>
    <w:rsid w:val="00BE54E3"/>
    <w:rsid w:val="00BE5A61"/>
    <w:rsid w:val="00BE5FDB"/>
    <w:rsid w:val="00BE606F"/>
    <w:rsid w:val="00BE6090"/>
    <w:rsid w:val="00BE64D4"/>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274"/>
    <w:rsid w:val="00BF256C"/>
    <w:rsid w:val="00BF25A0"/>
    <w:rsid w:val="00BF31BE"/>
    <w:rsid w:val="00BF321E"/>
    <w:rsid w:val="00BF3679"/>
    <w:rsid w:val="00BF383E"/>
    <w:rsid w:val="00BF3C08"/>
    <w:rsid w:val="00BF3C5C"/>
    <w:rsid w:val="00BF3E94"/>
    <w:rsid w:val="00BF42B5"/>
    <w:rsid w:val="00BF42F5"/>
    <w:rsid w:val="00BF4A19"/>
    <w:rsid w:val="00BF4B32"/>
    <w:rsid w:val="00BF4C9C"/>
    <w:rsid w:val="00BF4F61"/>
    <w:rsid w:val="00BF521C"/>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6FEC"/>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741"/>
    <w:rsid w:val="00C129C4"/>
    <w:rsid w:val="00C13129"/>
    <w:rsid w:val="00C13FFA"/>
    <w:rsid w:val="00C143CB"/>
    <w:rsid w:val="00C145C3"/>
    <w:rsid w:val="00C14CF5"/>
    <w:rsid w:val="00C15224"/>
    <w:rsid w:val="00C153DE"/>
    <w:rsid w:val="00C15587"/>
    <w:rsid w:val="00C155E9"/>
    <w:rsid w:val="00C15906"/>
    <w:rsid w:val="00C16558"/>
    <w:rsid w:val="00C16B4B"/>
    <w:rsid w:val="00C17877"/>
    <w:rsid w:val="00C17B6B"/>
    <w:rsid w:val="00C2029D"/>
    <w:rsid w:val="00C2047C"/>
    <w:rsid w:val="00C2060B"/>
    <w:rsid w:val="00C208E5"/>
    <w:rsid w:val="00C20ADC"/>
    <w:rsid w:val="00C20CD6"/>
    <w:rsid w:val="00C20F36"/>
    <w:rsid w:val="00C21003"/>
    <w:rsid w:val="00C21264"/>
    <w:rsid w:val="00C213AE"/>
    <w:rsid w:val="00C2166B"/>
    <w:rsid w:val="00C218D8"/>
    <w:rsid w:val="00C2198C"/>
    <w:rsid w:val="00C21AFE"/>
    <w:rsid w:val="00C21B81"/>
    <w:rsid w:val="00C21BE1"/>
    <w:rsid w:val="00C21D99"/>
    <w:rsid w:val="00C21E67"/>
    <w:rsid w:val="00C21F8E"/>
    <w:rsid w:val="00C22378"/>
    <w:rsid w:val="00C226CA"/>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5D75"/>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27A"/>
    <w:rsid w:val="00C50690"/>
    <w:rsid w:val="00C509D6"/>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E64"/>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239"/>
    <w:rsid w:val="00C6043E"/>
    <w:rsid w:val="00C605DA"/>
    <w:rsid w:val="00C60847"/>
    <w:rsid w:val="00C6086E"/>
    <w:rsid w:val="00C608C6"/>
    <w:rsid w:val="00C608F3"/>
    <w:rsid w:val="00C60EB6"/>
    <w:rsid w:val="00C613A1"/>
    <w:rsid w:val="00C617CD"/>
    <w:rsid w:val="00C61898"/>
    <w:rsid w:val="00C6192B"/>
    <w:rsid w:val="00C6196A"/>
    <w:rsid w:val="00C61EBD"/>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6DA"/>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152"/>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334"/>
    <w:rsid w:val="00C9757A"/>
    <w:rsid w:val="00C976BD"/>
    <w:rsid w:val="00C97AAE"/>
    <w:rsid w:val="00CA0084"/>
    <w:rsid w:val="00CA0120"/>
    <w:rsid w:val="00CA02B3"/>
    <w:rsid w:val="00CA08F9"/>
    <w:rsid w:val="00CA0B18"/>
    <w:rsid w:val="00CA0C39"/>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246"/>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6C7"/>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2B2"/>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383"/>
    <w:rsid w:val="00CC7C57"/>
    <w:rsid w:val="00CC7DFD"/>
    <w:rsid w:val="00CC7EB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09C"/>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3D7"/>
    <w:rsid w:val="00D034D2"/>
    <w:rsid w:val="00D03C4E"/>
    <w:rsid w:val="00D03E94"/>
    <w:rsid w:val="00D040F5"/>
    <w:rsid w:val="00D04487"/>
    <w:rsid w:val="00D04493"/>
    <w:rsid w:val="00D044C8"/>
    <w:rsid w:val="00D04533"/>
    <w:rsid w:val="00D04795"/>
    <w:rsid w:val="00D04FE2"/>
    <w:rsid w:val="00D056F6"/>
    <w:rsid w:val="00D05808"/>
    <w:rsid w:val="00D0581A"/>
    <w:rsid w:val="00D059AF"/>
    <w:rsid w:val="00D06617"/>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E9F"/>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336"/>
    <w:rsid w:val="00D177D0"/>
    <w:rsid w:val="00D17F91"/>
    <w:rsid w:val="00D17FA6"/>
    <w:rsid w:val="00D205F1"/>
    <w:rsid w:val="00D2062E"/>
    <w:rsid w:val="00D206F7"/>
    <w:rsid w:val="00D20DA4"/>
    <w:rsid w:val="00D211C6"/>
    <w:rsid w:val="00D213D1"/>
    <w:rsid w:val="00D2147A"/>
    <w:rsid w:val="00D215F2"/>
    <w:rsid w:val="00D21861"/>
    <w:rsid w:val="00D21914"/>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9A4"/>
    <w:rsid w:val="00D24B97"/>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1EE9"/>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4E1"/>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D6"/>
    <w:rsid w:val="00D544F1"/>
    <w:rsid w:val="00D5455E"/>
    <w:rsid w:val="00D54E1C"/>
    <w:rsid w:val="00D54FB0"/>
    <w:rsid w:val="00D55062"/>
    <w:rsid w:val="00D5613C"/>
    <w:rsid w:val="00D565B5"/>
    <w:rsid w:val="00D5664B"/>
    <w:rsid w:val="00D56A33"/>
    <w:rsid w:val="00D56A78"/>
    <w:rsid w:val="00D56C1D"/>
    <w:rsid w:val="00D56C2E"/>
    <w:rsid w:val="00D56CA1"/>
    <w:rsid w:val="00D56E49"/>
    <w:rsid w:val="00D56F75"/>
    <w:rsid w:val="00D573E7"/>
    <w:rsid w:val="00D5746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D16"/>
    <w:rsid w:val="00D70EF4"/>
    <w:rsid w:val="00D71141"/>
    <w:rsid w:val="00D712B6"/>
    <w:rsid w:val="00D7142F"/>
    <w:rsid w:val="00D71CA8"/>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5D6"/>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28F"/>
    <w:rsid w:val="00D86566"/>
    <w:rsid w:val="00D865D8"/>
    <w:rsid w:val="00D86809"/>
    <w:rsid w:val="00D86B56"/>
    <w:rsid w:val="00D86C5D"/>
    <w:rsid w:val="00D86D06"/>
    <w:rsid w:val="00D86EC8"/>
    <w:rsid w:val="00D87488"/>
    <w:rsid w:val="00D8784E"/>
    <w:rsid w:val="00D87A94"/>
    <w:rsid w:val="00D9040F"/>
    <w:rsid w:val="00D9042B"/>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7B"/>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420"/>
    <w:rsid w:val="00DA0438"/>
    <w:rsid w:val="00DA0625"/>
    <w:rsid w:val="00DA07BB"/>
    <w:rsid w:val="00DA1051"/>
    <w:rsid w:val="00DA16C9"/>
    <w:rsid w:val="00DA1AF8"/>
    <w:rsid w:val="00DA1CED"/>
    <w:rsid w:val="00DA2065"/>
    <w:rsid w:val="00DA20E5"/>
    <w:rsid w:val="00DA2954"/>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4F9"/>
    <w:rsid w:val="00DA5C4E"/>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4DA4"/>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21E"/>
    <w:rsid w:val="00DD16B0"/>
    <w:rsid w:val="00DD1BC9"/>
    <w:rsid w:val="00DD203F"/>
    <w:rsid w:val="00DD24E3"/>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02C"/>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9E9"/>
    <w:rsid w:val="00DE7A63"/>
    <w:rsid w:val="00DF0186"/>
    <w:rsid w:val="00DF0AA0"/>
    <w:rsid w:val="00DF1385"/>
    <w:rsid w:val="00DF17EF"/>
    <w:rsid w:val="00DF20B5"/>
    <w:rsid w:val="00DF22CD"/>
    <w:rsid w:val="00DF23AE"/>
    <w:rsid w:val="00DF24B7"/>
    <w:rsid w:val="00DF29B7"/>
    <w:rsid w:val="00DF2A15"/>
    <w:rsid w:val="00DF2C60"/>
    <w:rsid w:val="00DF31B3"/>
    <w:rsid w:val="00DF34A7"/>
    <w:rsid w:val="00DF3666"/>
    <w:rsid w:val="00DF3B0C"/>
    <w:rsid w:val="00DF3D67"/>
    <w:rsid w:val="00DF3E70"/>
    <w:rsid w:val="00DF4104"/>
    <w:rsid w:val="00DF4319"/>
    <w:rsid w:val="00DF466E"/>
    <w:rsid w:val="00DF4912"/>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997"/>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BD5"/>
    <w:rsid w:val="00E13CF0"/>
    <w:rsid w:val="00E13D0C"/>
    <w:rsid w:val="00E14040"/>
    <w:rsid w:val="00E14149"/>
    <w:rsid w:val="00E14471"/>
    <w:rsid w:val="00E14536"/>
    <w:rsid w:val="00E148CB"/>
    <w:rsid w:val="00E14E8D"/>
    <w:rsid w:val="00E1523D"/>
    <w:rsid w:val="00E1540A"/>
    <w:rsid w:val="00E15543"/>
    <w:rsid w:val="00E155CC"/>
    <w:rsid w:val="00E1560A"/>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49"/>
    <w:rsid w:val="00E267AF"/>
    <w:rsid w:val="00E267D5"/>
    <w:rsid w:val="00E26825"/>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3C"/>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142"/>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CC3"/>
    <w:rsid w:val="00E52D87"/>
    <w:rsid w:val="00E52FA0"/>
    <w:rsid w:val="00E5342D"/>
    <w:rsid w:val="00E53E3E"/>
    <w:rsid w:val="00E5425C"/>
    <w:rsid w:val="00E5449F"/>
    <w:rsid w:val="00E5455C"/>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55F"/>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0D7"/>
    <w:rsid w:val="00E701A0"/>
    <w:rsid w:val="00E709B7"/>
    <w:rsid w:val="00E70BC4"/>
    <w:rsid w:val="00E70C25"/>
    <w:rsid w:val="00E70D5C"/>
    <w:rsid w:val="00E710AD"/>
    <w:rsid w:val="00E7111B"/>
    <w:rsid w:val="00E71402"/>
    <w:rsid w:val="00E7142B"/>
    <w:rsid w:val="00E71589"/>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D8"/>
    <w:rsid w:val="00E77569"/>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21B"/>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69D"/>
    <w:rsid w:val="00E92904"/>
    <w:rsid w:val="00E929CC"/>
    <w:rsid w:val="00E92F38"/>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3D3"/>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0EDD"/>
    <w:rsid w:val="00EA138E"/>
    <w:rsid w:val="00EA14BA"/>
    <w:rsid w:val="00EA167D"/>
    <w:rsid w:val="00EA1B06"/>
    <w:rsid w:val="00EA2059"/>
    <w:rsid w:val="00EA2303"/>
    <w:rsid w:val="00EA25B2"/>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5DE"/>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4EB"/>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4F68"/>
    <w:rsid w:val="00EC504F"/>
    <w:rsid w:val="00EC567E"/>
    <w:rsid w:val="00EC5738"/>
    <w:rsid w:val="00EC607B"/>
    <w:rsid w:val="00EC6732"/>
    <w:rsid w:val="00EC68CC"/>
    <w:rsid w:val="00EC73BE"/>
    <w:rsid w:val="00EC75D7"/>
    <w:rsid w:val="00EC773D"/>
    <w:rsid w:val="00EC784B"/>
    <w:rsid w:val="00EC7CB6"/>
    <w:rsid w:val="00EC7E3D"/>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E0B"/>
    <w:rsid w:val="00ED6F79"/>
    <w:rsid w:val="00ED703B"/>
    <w:rsid w:val="00ED704B"/>
    <w:rsid w:val="00EE01A3"/>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33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4C7"/>
    <w:rsid w:val="00EF569E"/>
    <w:rsid w:val="00EF5F2A"/>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3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9AE"/>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17B5E"/>
    <w:rsid w:val="00F20BEC"/>
    <w:rsid w:val="00F20CCB"/>
    <w:rsid w:val="00F20D7F"/>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6D1"/>
    <w:rsid w:val="00F33C10"/>
    <w:rsid w:val="00F33F38"/>
    <w:rsid w:val="00F33FBE"/>
    <w:rsid w:val="00F3421B"/>
    <w:rsid w:val="00F3432A"/>
    <w:rsid w:val="00F34952"/>
    <w:rsid w:val="00F34D96"/>
    <w:rsid w:val="00F34E33"/>
    <w:rsid w:val="00F3520C"/>
    <w:rsid w:val="00F35693"/>
    <w:rsid w:val="00F35B6B"/>
    <w:rsid w:val="00F36022"/>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9BF"/>
    <w:rsid w:val="00F40AB0"/>
    <w:rsid w:val="00F40B5F"/>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100"/>
    <w:rsid w:val="00F60233"/>
    <w:rsid w:val="00F6038A"/>
    <w:rsid w:val="00F6048C"/>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5B6"/>
    <w:rsid w:val="00F73910"/>
    <w:rsid w:val="00F73C09"/>
    <w:rsid w:val="00F73FE7"/>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406D"/>
    <w:rsid w:val="00F840CE"/>
    <w:rsid w:val="00F841C0"/>
    <w:rsid w:val="00F84495"/>
    <w:rsid w:val="00F844A5"/>
    <w:rsid w:val="00F846BD"/>
    <w:rsid w:val="00F84817"/>
    <w:rsid w:val="00F84CB9"/>
    <w:rsid w:val="00F84E26"/>
    <w:rsid w:val="00F85349"/>
    <w:rsid w:val="00F85761"/>
    <w:rsid w:val="00F858C0"/>
    <w:rsid w:val="00F858E2"/>
    <w:rsid w:val="00F859F8"/>
    <w:rsid w:val="00F860C5"/>
    <w:rsid w:val="00F868EF"/>
    <w:rsid w:val="00F86AF9"/>
    <w:rsid w:val="00F86B46"/>
    <w:rsid w:val="00F8718F"/>
    <w:rsid w:val="00F87378"/>
    <w:rsid w:val="00F873C0"/>
    <w:rsid w:val="00F87704"/>
    <w:rsid w:val="00F87856"/>
    <w:rsid w:val="00F87B40"/>
    <w:rsid w:val="00F87BF2"/>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486F"/>
    <w:rsid w:val="00F94DA2"/>
    <w:rsid w:val="00F94F47"/>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6C2"/>
    <w:rsid w:val="00FA4830"/>
    <w:rsid w:val="00FA4851"/>
    <w:rsid w:val="00FA4D5A"/>
    <w:rsid w:val="00FA4E79"/>
    <w:rsid w:val="00FA4EDC"/>
    <w:rsid w:val="00FA5164"/>
    <w:rsid w:val="00FA5294"/>
    <w:rsid w:val="00FA53C1"/>
    <w:rsid w:val="00FA5723"/>
    <w:rsid w:val="00FA5BA9"/>
    <w:rsid w:val="00FA6449"/>
    <w:rsid w:val="00FA6521"/>
    <w:rsid w:val="00FA66DF"/>
    <w:rsid w:val="00FA67B4"/>
    <w:rsid w:val="00FA68F5"/>
    <w:rsid w:val="00FA6AC1"/>
    <w:rsid w:val="00FA6B03"/>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4C2"/>
    <w:rsid w:val="00FB361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7CB"/>
    <w:rsid w:val="00FC1A8F"/>
    <w:rsid w:val="00FC1AA7"/>
    <w:rsid w:val="00FC233B"/>
    <w:rsid w:val="00FC26CF"/>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409"/>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C98"/>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D7D5D"/>
    <w:rsid w:val="00FE06A8"/>
    <w:rsid w:val="00FE09DC"/>
    <w:rsid w:val="00FE18DE"/>
    <w:rsid w:val="00FE1AD4"/>
    <w:rsid w:val="00FE1CE6"/>
    <w:rsid w:val="00FE2210"/>
    <w:rsid w:val="00FE2409"/>
    <w:rsid w:val="00FE259D"/>
    <w:rsid w:val="00FE266D"/>
    <w:rsid w:val="00FE27FC"/>
    <w:rsid w:val="00FE29F8"/>
    <w:rsid w:val="00FE2A63"/>
    <w:rsid w:val="00FE2B0F"/>
    <w:rsid w:val="00FE2BD0"/>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7F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02F98710-8A0A-47D2-AF17-E13FB2FE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uiPriority w:val="9"/>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uiPriority w:val="9"/>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link w:val="Heading3Char"/>
    <w:uiPriority w:val="9"/>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link w:val="CommentSubjectChar"/>
    <w:uiPriority w:val="99"/>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uiPriority w:val="9"/>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styleId="PlaceholderText">
    <w:name w:val="Placeholder Text"/>
    <w:basedOn w:val="DefaultParagraphFont"/>
    <w:uiPriority w:val="99"/>
    <w:semiHidden/>
    <w:rsid w:val="00C20ADC"/>
    <w:rPr>
      <w:color w:val="808080"/>
    </w:rPr>
  </w:style>
  <w:style w:type="character" w:customStyle="1" w:styleId="Heading3Char">
    <w:name w:val="Heading 3 Char"/>
    <w:aliases w:val="Underrubrik2 Char,H3 Char,no break Char,Memo Heading 3 Char"/>
    <w:basedOn w:val="DefaultParagraphFont"/>
    <w:link w:val="Heading3"/>
    <w:uiPriority w:val="9"/>
    <w:rsid w:val="00C20ADC"/>
    <w:rPr>
      <w:rFonts w:ascii="Arial" w:eastAsia="MS Gothic" w:hAnsi="Arial"/>
      <w:sz w:val="24"/>
      <w:szCs w:val="24"/>
      <w:lang w:eastAsia="en-US"/>
    </w:rPr>
  </w:style>
  <w:style w:type="character" w:customStyle="1" w:styleId="CommentSubjectChar">
    <w:name w:val="Comment Subject Char"/>
    <w:basedOn w:val="CommentTextChar"/>
    <w:link w:val="CommentSubject"/>
    <w:uiPriority w:val="99"/>
    <w:semiHidden/>
    <w:rsid w:val="00C20ADC"/>
    <w:rPr>
      <w:rFonts w:eastAsia="MS Gothic"/>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50CFAEFF-1720-4143-8D87-1797174B61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3C038F2D-4D34-4AA7-863F-416E9C49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13</Pages>
  <Words>4059</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262</cp:revision>
  <dcterms:created xsi:type="dcterms:W3CDTF">2024-01-17T23:43:00Z</dcterms:created>
  <dcterms:modified xsi:type="dcterms:W3CDTF">2024-04-05T19:52:00Z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